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before="0" w:after="0"/>
        <w:jc w:val="center"/>
        <w:rPr>
          <w:rFonts w:ascii="Times New Roman" w:hAnsi="Times New Roman" w:cs="Times New Roman"/>
          <w:b/>
          <w:b/>
          <w:sz w:val="28"/>
          <w:szCs w:val="28"/>
        </w:rPr>
      </w:pPr>
      <w:r>
        <w:rPr>
          <w:rFonts w:cs="Times New Roman" w:ascii="Times New Roman" w:hAnsi="Times New Roman"/>
          <w:b/>
          <w:sz w:val="28"/>
          <w:szCs w:val="28"/>
        </w:rPr>
        <w:t>APPROVAL APPLICATION FORM</w:t>
      </w:r>
    </w:p>
    <w:p>
      <w:pPr>
        <w:pStyle w:val="Normal"/>
        <w:spacing w:before="0" w:after="0"/>
        <w:jc w:val="center"/>
        <w:rPr>
          <w:rFonts w:ascii="Times New Roman" w:hAnsi="Times New Roman" w:cs="Times New Roman"/>
          <w:b/>
          <w:b/>
          <w:sz w:val="28"/>
          <w:szCs w:val="28"/>
        </w:rPr>
      </w:pPr>
      <w:r>
        <w:rPr>
          <w:rFonts w:cs="Times New Roman" w:ascii="Times New Roman" w:hAnsi="Times New Roman"/>
          <w:b/>
          <w:sz w:val="28"/>
          <w:szCs w:val="28"/>
        </w:rPr>
        <w:t>ADDITIONAL FINANCING OF STUDENTS WITH LESS OPPORTUNITIES</w:t>
      </w:r>
    </w:p>
    <w:p>
      <w:pPr>
        <w:pStyle w:val="Normal"/>
        <w:spacing w:before="0" w:after="0"/>
        <w:jc w:val="both"/>
        <w:rPr>
          <w:rFonts w:ascii="Times New Roman" w:hAnsi="Times New Roman" w:cs="Times New Roman"/>
          <w:b/>
          <w:b/>
          <w:color w:val="1F497D"/>
          <w:sz w:val="18"/>
          <w:szCs w:val="18"/>
        </w:rPr>
      </w:pPr>
      <w:r>
        <w:rPr>
          <w:rFonts w:cs="Times New Roman" w:ascii="Times New Roman" w:hAnsi="Times New Roman"/>
          <w:b/>
          <w:color w:val="1F497D"/>
          <w:sz w:val="18"/>
          <w:szCs w:val="18"/>
        </w:rPr>
      </w:r>
    </w:p>
    <w:p>
      <w:pPr>
        <w:pStyle w:val="Normal"/>
        <w:spacing w:before="0" w:after="0"/>
        <w:jc w:val="both"/>
        <w:rPr>
          <w:rFonts w:ascii="Times New Roman" w:hAnsi="Times New Roman" w:cs="Times New Roman"/>
          <w:sz w:val="18"/>
          <w:szCs w:val="18"/>
        </w:rPr>
      </w:pPr>
      <w:r>
        <w:rPr>
          <w:rFonts w:cs="Times New Roman" w:ascii="Times New Roman" w:hAnsi="Times New Roman"/>
          <w:sz w:val="18"/>
          <w:szCs w:val="18"/>
        </w:rPr>
      </w:r>
    </w:p>
    <w:p>
      <w:pPr>
        <w:pStyle w:val="Normal"/>
        <w:spacing w:before="0" w:after="0"/>
        <w:jc w:val="both"/>
        <w:rPr>
          <w:rFonts w:ascii="Times New Roman" w:hAnsi="Times New Roman" w:cs="Times New Roman"/>
          <w:sz w:val="18"/>
          <w:szCs w:val="18"/>
        </w:rPr>
      </w:pPr>
      <w:r>
        <w:rPr>
          <w:rFonts w:cs="Times New Roman" w:ascii="Times New Roman" w:hAnsi="Times New Roman"/>
          <w:color w:val="1F497D"/>
          <w:sz w:val="18"/>
          <w:szCs w:val="18"/>
          <w:u w:val="single"/>
        </w:rPr>
        <w:t>Additional funding in the amount of EUR 250.00 per month can be requested by students who apply for long-term mobility for the purpose of study stay, professional internship or combined study and internship in the basic Application Form.</w:t>
      </w:r>
    </w:p>
    <w:p>
      <w:pPr>
        <w:pStyle w:val="Normal"/>
        <w:spacing w:before="0" w:after="0"/>
        <w:jc w:val="both"/>
        <w:rPr>
          <w:rFonts w:ascii="Times New Roman" w:hAnsi="Times New Roman" w:cs="Times New Roman"/>
          <w:color w:val="4F6228"/>
          <w:sz w:val="18"/>
          <w:szCs w:val="18"/>
          <w:u w:val="single"/>
        </w:rPr>
      </w:pPr>
      <w:r>
        <w:rPr>
          <w:rFonts w:cs="Times New Roman" w:ascii="Times New Roman" w:hAnsi="Times New Roman"/>
          <w:color w:val="4F6228"/>
          <w:sz w:val="18"/>
          <w:szCs w:val="18"/>
          <w:u w:val="single"/>
        </w:rPr>
      </w:r>
    </w:p>
    <w:p>
      <w:pPr>
        <w:pStyle w:val="Normal"/>
        <w:spacing w:before="0" w:after="0"/>
        <w:jc w:val="both"/>
        <w:rPr>
          <w:rFonts w:ascii="Times New Roman" w:hAnsi="Times New Roman" w:cs="Times New Roman"/>
          <w:b/>
          <w:b/>
          <w:color w:val="4F6228"/>
          <w:sz w:val="18"/>
          <w:szCs w:val="18"/>
        </w:rPr>
      </w:pPr>
      <w:r>
        <w:rPr>
          <w:rFonts w:cs="Times New Roman" w:ascii="Times New Roman" w:hAnsi="Times New Roman"/>
          <w:b/>
          <w:color w:val="4F6228"/>
          <w:sz w:val="18"/>
          <w:szCs w:val="18"/>
        </w:rPr>
      </w:r>
    </w:p>
    <w:p>
      <w:pPr>
        <w:pStyle w:val="Normal"/>
        <w:jc w:val="both"/>
        <w:rPr>
          <w:rFonts w:ascii="Times New Roman" w:hAnsi="Times New Roman" w:cs="Times New Roman"/>
        </w:rPr>
      </w:pPr>
      <w:r>
        <w:rPr>
          <w:rFonts w:cs="Times New Roman" w:ascii="Times New Roman" w:hAnsi="Times New Roman"/>
        </w:rPr>
        <w:t>Indicate the category for which you are applying for additional funding within the competition for the award of financial aid to students for mobility within the ERASMUS + program - Key Activities 1, in the academic year 2022/2023.</w:t>
      </w:r>
    </w:p>
    <w:p>
      <w:pPr>
        <w:pStyle w:val="Normal"/>
        <w:jc w:val="both"/>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b/>
          <w:b/>
        </w:rPr>
      </w:pPr>
      <w:r>
        <w:rPr>
          <w:rFonts w:cs="Times New Roman" w:ascii="Times New Roman" w:hAnsi="Times New Roman"/>
          <w:b/>
        </w:rPr>
        <w:t>Table 1.- List of underrepresented or vulnerable groups of students in higher education</w:t>
      </w:r>
    </w:p>
    <w:tbl>
      <w:tblPr>
        <w:tblStyle w:val="Reetkatablice"/>
        <w:tblW w:w="9288" w:type="dxa"/>
        <w:jc w:val="left"/>
        <w:tblInd w:w="0" w:type="dxa"/>
        <w:tblCellMar>
          <w:top w:w="0" w:type="dxa"/>
          <w:left w:w="108" w:type="dxa"/>
          <w:bottom w:w="0" w:type="dxa"/>
          <w:right w:w="108" w:type="dxa"/>
        </w:tblCellMar>
        <w:tblLook w:val="04a0" w:noHBand="0" w:noVBand="1" w:firstColumn="1" w:lastRow="0" w:lastColumn="0" w:firstRow="1"/>
      </w:tblPr>
      <w:tblGrid>
        <w:gridCol w:w="521"/>
        <w:gridCol w:w="2412"/>
        <w:gridCol w:w="1003"/>
        <w:gridCol w:w="5351"/>
      </w:tblGrid>
      <w:tr>
        <w:trPr>
          <w:trHeight w:val="713" w:hRule="atLeast"/>
        </w:trPr>
        <w:tc>
          <w:tcPr>
            <w:tcW w:w="521" w:type="dxa"/>
            <w:tcBorders/>
            <w:shd w:color="auto" w:fill="F2F2F2" w:themeFill="background1" w:themeFillShade="f2" w:val="clear"/>
          </w:tcPr>
          <w:p>
            <w:pPr>
              <w:pStyle w:val="Normal"/>
              <w:spacing w:lineRule="auto" w:line="240" w:before="0" w:after="0"/>
              <w:rPr>
                <w:rFonts w:ascii="Times New Roman" w:hAnsi="Times New Roman" w:eastAsia="Calibri" w:cs="Times New Roman" w:eastAsiaTheme="minorHAnsi"/>
                <w:b/>
                <w:b/>
                <w:color w:val="auto"/>
                <w:kern w:val="0"/>
                <w:sz w:val="20"/>
                <w:szCs w:val="20"/>
                <w:lang w:val="hr-HR" w:eastAsia="en-US" w:bidi="ar-SA"/>
              </w:rPr>
            </w:pPr>
            <w:r>
              <w:rPr>
                <w:rFonts w:eastAsia="Calibri" w:cs="Times New Roman" w:ascii="Times New Roman" w:hAnsi="Times New Roman" w:eastAsiaTheme="minorHAnsi"/>
                <w:b/>
                <w:color w:val="auto"/>
                <w:kern w:val="0"/>
                <w:sz w:val="20"/>
                <w:szCs w:val="20"/>
                <w:lang w:val="hr-HR" w:eastAsia="en-US" w:bidi="ar-SA"/>
              </w:rPr>
              <w:t>No.</w:t>
            </w:r>
          </w:p>
        </w:tc>
        <w:tc>
          <w:tcPr>
            <w:tcW w:w="2412" w:type="dxa"/>
            <w:tcBorders/>
            <w:shd w:color="auto" w:fill="F2F2F2" w:themeFill="background1" w:themeFillShade="f2" w:val="cle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The name of the category of underrepresented or vulnerable group of students</w:t>
            </w:r>
          </w:p>
        </w:tc>
        <w:tc>
          <w:tcPr>
            <w:tcW w:w="1003" w:type="dxa"/>
            <w:tcBorders/>
            <w:shd w:color="auto" w:fill="F2F2F2" w:themeFill="background1" w:themeFillShade="f2" w:val="cle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color w:val="000000" w:themeColor="text1"/>
                <w:sz w:val="20"/>
                <w:szCs w:val="20"/>
              </w:rPr>
              <w:t>Mark status with X</w:t>
            </w:r>
          </w:p>
        </w:tc>
        <w:tc>
          <w:tcPr>
            <w:tcW w:w="5351" w:type="dxa"/>
            <w:tcBorders/>
            <w:shd w:color="auto" w:fill="F2F2F2" w:themeFill="background1" w:themeFillShade="f2" w:val="clear"/>
          </w:tcPr>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List of documents to be submitted as proof of entitlement to additional funding</w:t>
            </w:r>
          </w:p>
        </w:tc>
      </w:tr>
      <w:tr>
        <w:trPr>
          <w:trHeight w:val="2419" w:hRule="atLeast"/>
        </w:trPr>
        <w:tc>
          <w:tcPr>
            <w:tcW w:w="521" w:type="dxa"/>
            <w:tcBorders/>
          </w:tcPr>
          <w:p>
            <w:pPr>
              <w:pStyle w:val="Normal"/>
              <w:spacing w:lineRule="auto" w:line="240" w:before="0" w:after="0"/>
              <w:rPr>
                <w:rFonts w:ascii="Times New Roman" w:hAnsi="Times New Roman" w:cs="Times New Roman"/>
              </w:rPr>
            </w:pPr>
            <w:r>
              <w:rPr>
                <w:rFonts w:cs="Times New Roman" w:ascii="Times New Roman" w:hAnsi="Times New Roman"/>
              </w:rPr>
              <w:t>1.</w:t>
            </w:r>
          </w:p>
        </w:tc>
        <w:tc>
          <w:tcPr>
            <w:tcW w:w="2412" w:type="dxa"/>
            <w:tcBorders/>
          </w:tcPr>
          <w:p>
            <w:pPr>
              <w:pStyle w:val="Normal"/>
              <w:spacing w:lineRule="auto" w:line="240" w:before="0" w:after="0"/>
              <w:rPr>
                <w:rFonts w:ascii="Times New Roman" w:hAnsi="Times New Roman" w:cs="Times New Roman"/>
              </w:rPr>
            </w:pPr>
            <w:r>
              <w:rPr>
                <w:rFonts w:cs="Times New Roman" w:ascii="Times New Roman" w:hAnsi="Times New Roman"/>
              </w:rPr>
              <w:t>Students of lower socioeconomic status</w:t>
            </w:r>
          </w:p>
        </w:tc>
        <w:tc>
          <w:tcPr>
            <w:tcW w:w="1003" w:type="dxa"/>
            <w:tcBorders/>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5351" w:type="dxa"/>
            <w:tcBorders/>
          </w:tcPr>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 xml:space="preserve">□ </w:t>
            </w:r>
            <w:r>
              <w:rPr>
                <w:rFonts w:cs="Times New Roman" w:ascii="Times New Roman" w:hAnsi="Times New Roman"/>
                <w:sz w:val="16"/>
                <w:szCs w:val="16"/>
              </w:rPr>
              <w:t>Statement on members of the joint household</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(joint household means a family or other community of persons who live together at the same address of residence and cover the cost of living regardless of kinship). The statement of the members of the joint household does not need to be notarized.</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 xml:space="preserve">□ </w:t>
            </w:r>
            <w:r>
              <w:rPr>
                <w:rFonts w:cs="Times New Roman" w:ascii="Times New Roman" w:hAnsi="Times New Roman"/>
                <w:sz w:val="16"/>
                <w:szCs w:val="16"/>
              </w:rPr>
              <w:t>Certificate from the competent tax administration for all members of the joint household for the calendar year 2021 (or for the last available calendar year)</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 xml:space="preserve">□ </w:t>
            </w:r>
            <w:r>
              <w:rPr>
                <w:rFonts w:cs="Times New Roman" w:ascii="Times New Roman" w:hAnsi="Times New Roman"/>
                <w:sz w:val="16"/>
                <w:szCs w:val="16"/>
              </w:rPr>
              <w:t>Certificate from the competent pension insurance institution on the amount of the paid pension for the calendar year 2021 (or for the last available calendar year) (if the member of the joint household is retired)</w:t>
            </w:r>
          </w:p>
        </w:tc>
      </w:tr>
      <w:tr>
        <w:trPr>
          <w:trHeight w:val="714" w:hRule="atLeast"/>
        </w:trPr>
        <w:tc>
          <w:tcPr>
            <w:tcW w:w="521" w:type="dxa"/>
            <w:tcBorders/>
          </w:tcPr>
          <w:p>
            <w:pPr>
              <w:pStyle w:val="Normal"/>
              <w:spacing w:lineRule="auto" w:line="240" w:before="0" w:after="0"/>
              <w:rPr>
                <w:rFonts w:ascii="Times New Roman" w:hAnsi="Times New Roman" w:cs="Times New Roman"/>
              </w:rPr>
            </w:pPr>
            <w:r>
              <w:rPr>
                <w:rFonts w:cs="Times New Roman" w:ascii="Times New Roman" w:hAnsi="Times New Roman"/>
              </w:rPr>
              <w:t>2.</w:t>
            </w:r>
          </w:p>
        </w:tc>
        <w:tc>
          <w:tcPr>
            <w:tcW w:w="2412" w:type="dxa"/>
            <w:tcBorders/>
          </w:tcPr>
          <w:p>
            <w:pPr>
              <w:pStyle w:val="Normal"/>
              <w:spacing w:lineRule="auto" w:line="240" w:before="0" w:after="0"/>
              <w:rPr>
                <w:rFonts w:ascii="Times New Roman" w:hAnsi="Times New Roman" w:cs="Times New Roman"/>
              </w:rPr>
            </w:pPr>
            <w:r>
              <w:rPr>
                <w:rFonts w:cs="Times New Roman" w:ascii="Times New Roman" w:hAnsi="Times New Roman"/>
              </w:rPr>
              <w:t>Students who have refugee, asylum seeker or migrant status</w:t>
            </w:r>
          </w:p>
        </w:tc>
        <w:tc>
          <w:tcPr>
            <w:tcW w:w="1003" w:type="dxa"/>
            <w:tcBorders/>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5351" w:type="dxa"/>
            <w:tcBorders/>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 xml:space="preserve">□ </w:t>
            </w:r>
            <w:r>
              <w:rPr>
                <w:rFonts w:cs="Times New Roman" w:ascii="Times New Roman" w:hAnsi="Times New Roman"/>
                <w:sz w:val="16"/>
                <w:szCs w:val="16"/>
              </w:rPr>
              <w:t>Decision granting asylum or subsidiary protection</w:t>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 xml:space="preserve">□ </w:t>
            </w:r>
            <w:r>
              <w:rPr>
                <w:rFonts w:cs="Times New Roman" w:ascii="Times New Roman" w:hAnsi="Times New Roman"/>
                <w:sz w:val="16"/>
                <w:szCs w:val="16"/>
              </w:rPr>
              <w:t>A document proving the student's identity</w:t>
            </w:r>
          </w:p>
        </w:tc>
      </w:tr>
      <w:tr>
        <w:trPr>
          <w:trHeight w:val="657" w:hRule="atLeast"/>
        </w:trPr>
        <w:tc>
          <w:tcPr>
            <w:tcW w:w="521" w:type="dxa"/>
            <w:tcBorders/>
          </w:tcPr>
          <w:p>
            <w:pPr>
              <w:pStyle w:val="Normal"/>
              <w:spacing w:lineRule="auto" w:line="240" w:before="0" w:after="0"/>
              <w:rPr>
                <w:rFonts w:ascii="Times New Roman" w:hAnsi="Times New Roman" w:cs="Times New Roman"/>
              </w:rPr>
            </w:pPr>
            <w:r>
              <w:rPr>
                <w:rFonts w:cs="Times New Roman" w:ascii="Times New Roman" w:hAnsi="Times New Roman"/>
              </w:rPr>
              <w:t>3.</w:t>
            </w:r>
          </w:p>
        </w:tc>
        <w:tc>
          <w:tcPr>
            <w:tcW w:w="2412" w:type="dxa"/>
            <w:tcBorders/>
          </w:tcPr>
          <w:p>
            <w:pPr>
              <w:pStyle w:val="Normal"/>
              <w:spacing w:lineRule="auto" w:line="240" w:before="0" w:after="0"/>
              <w:rPr>
                <w:rFonts w:ascii="Times New Roman" w:hAnsi="Times New Roman" w:cs="Times New Roman"/>
              </w:rPr>
            </w:pPr>
            <w:r>
              <w:rPr>
                <w:rFonts w:cs="Times New Roman" w:ascii="Times New Roman" w:hAnsi="Times New Roman"/>
              </w:rPr>
              <w:t>Students with support for inclusion - disability</w:t>
            </w:r>
          </w:p>
        </w:tc>
        <w:tc>
          <w:tcPr>
            <w:tcW w:w="1003" w:type="dxa"/>
            <w:tcBorders/>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5351" w:type="dxa"/>
            <w:tcBorders/>
          </w:tcPr>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 xml:space="preserve">□ </w:t>
            </w:r>
            <w:r>
              <w:rPr>
                <w:rFonts w:cs="Times New Roman" w:ascii="Times New Roman" w:hAnsi="Times New Roman"/>
                <w:sz w:val="16"/>
                <w:szCs w:val="16"/>
              </w:rPr>
              <w:t>Decision of the competent body on the degree of disability (in%) or physical damage and description of special needs and medical documentation confirming the diagnosis of special needs and permanent chronic diseases</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 xml:space="preserve">□ </w:t>
            </w:r>
            <w:r>
              <w:rPr>
                <w:rFonts w:cs="Times New Roman" w:ascii="Times New Roman" w:hAnsi="Times New Roman"/>
                <w:sz w:val="16"/>
                <w:szCs w:val="16"/>
              </w:rPr>
              <w:t>Family doctor's certificate (obligatory original, not older than 6 months)</w:t>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r>
          </w:p>
        </w:tc>
      </w:tr>
      <w:tr>
        <w:trPr>
          <w:trHeight w:val="666" w:hRule="atLeast"/>
        </w:trPr>
        <w:tc>
          <w:tcPr>
            <w:tcW w:w="521" w:type="dxa"/>
            <w:tcBorders/>
          </w:tcPr>
          <w:p>
            <w:pPr>
              <w:pStyle w:val="Normal"/>
              <w:spacing w:lineRule="auto" w:line="240" w:before="0" w:after="0"/>
              <w:rPr>
                <w:rFonts w:ascii="Times New Roman" w:hAnsi="Times New Roman" w:cs="Times New Roman"/>
              </w:rPr>
            </w:pPr>
            <w:r>
              <w:rPr>
                <w:rFonts w:cs="Times New Roman" w:ascii="Times New Roman" w:hAnsi="Times New Roman"/>
              </w:rPr>
              <w:t>4.</w:t>
            </w:r>
          </w:p>
        </w:tc>
        <w:tc>
          <w:tcPr>
            <w:tcW w:w="2412" w:type="dxa"/>
            <w:tcBorders/>
          </w:tcPr>
          <w:p>
            <w:pPr>
              <w:pStyle w:val="Normal"/>
              <w:spacing w:lineRule="auto" w:line="240" w:before="0" w:after="0"/>
              <w:rPr>
                <w:rFonts w:ascii="Times New Roman" w:hAnsi="Times New Roman" w:cs="Times New Roman"/>
              </w:rPr>
            </w:pPr>
            <w:r>
              <w:rPr>
                <w:rFonts w:cs="Times New Roman" w:ascii="Times New Roman" w:hAnsi="Times New Roman"/>
              </w:rPr>
              <w:t>Students are children of Croatian veterans</w:t>
            </w:r>
          </w:p>
        </w:tc>
        <w:tc>
          <w:tcPr>
            <w:tcW w:w="1003" w:type="dxa"/>
            <w:tcBorders/>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5351" w:type="dxa"/>
            <w:tcBorders/>
          </w:tcPr>
          <w:p>
            <w:pPr>
              <w:pStyle w:val="Normal"/>
              <w:spacing w:lineRule="auto" w:line="240" w:before="0" w:after="0"/>
              <w:rPr>
                <w:rFonts w:ascii="Times New Roman" w:hAnsi="Times New Roman" w:cs="Times New Roman"/>
              </w:rPr>
            </w:pPr>
            <w:r>
              <w:rPr>
                <w:rFonts w:cs="Times New Roman" w:ascii="Times New Roman" w:hAnsi="Times New Roman"/>
                <w:sz w:val="16"/>
                <w:szCs w:val="16"/>
              </w:rPr>
              <w:t xml:space="preserve">□ </w:t>
            </w:r>
            <w:r>
              <w:rPr>
                <w:rFonts w:cs="Times New Roman" w:ascii="Times New Roman" w:hAnsi="Times New Roman"/>
                <w:sz w:val="16"/>
                <w:szCs w:val="16"/>
              </w:rPr>
              <w:t>Certificate of Veterans Status issued by the competent state administration body, ie the Ministry of Croatian Veterans</w:t>
            </w:r>
          </w:p>
        </w:tc>
      </w:tr>
      <w:tr>
        <w:trPr>
          <w:trHeight w:val="812" w:hRule="atLeast"/>
        </w:trPr>
        <w:tc>
          <w:tcPr>
            <w:tcW w:w="521" w:type="dxa"/>
            <w:tcBorders/>
          </w:tcPr>
          <w:p>
            <w:pPr>
              <w:pStyle w:val="Normal"/>
              <w:spacing w:lineRule="auto" w:line="240" w:before="0" w:after="0"/>
              <w:rPr>
                <w:rFonts w:ascii="Times New Roman" w:hAnsi="Times New Roman" w:cs="Times New Roman"/>
              </w:rPr>
            </w:pPr>
            <w:r>
              <w:rPr>
                <w:rFonts w:cs="Times New Roman" w:ascii="Times New Roman" w:hAnsi="Times New Roman"/>
              </w:rPr>
              <w:t>5.</w:t>
            </w:r>
          </w:p>
        </w:tc>
        <w:tc>
          <w:tcPr>
            <w:tcW w:w="2412" w:type="dxa"/>
            <w:tcBorders/>
          </w:tcPr>
          <w:p>
            <w:pPr>
              <w:pStyle w:val="Normal"/>
              <w:spacing w:lineRule="auto" w:line="240" w:before="0" w:after="0"/>
              <w:rPr>
                <w:rFonts w:ascii="Times New Roman" w:hAnsi="Times New Roman" w:cs="Times New Roman"/>
              </w:rPr>
            </w:pPr>
            <w:r>
              <w:rPr>
                <w:rFonts w:cs="Times New Roman" w:ascii="Times New Roman" w:hAnsi="Times New Roman"/>
              </w:rPr>
              <w:t>Homeless students and those at risk of homelessness</w:t>
            </w:r>
          </w:p>
        </w:tc>
        <w:tc>
          <w:tcPr>
            <w:tcW w:w="1003" w:type="dxa"/>
            <w:tcBorders/>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5351" w:type="dxa"/>
            <w:tcBorders/>
          </w:tcPr>
          <w:p>
            <w:pPr>
              <w:pStyle w:val="Normal"/>
              <w:spacing w:lineRule="auto" w:line="240" w:before="0" w:after="0"/>
              <w:rPr>
                <w:rFonts w:ascii="Times New Roman" w:hAnsi="Times New Roman" w:cs="Times New Roman"/>
              </w:rPr>
            </w:pPr>
            <w:r>
              <w:rPr>
                <w:rFonts w:cs="Times New Roman" w:ascii="Times New Roman" w:hAnsi="Times New Roman"/>
                <w:sz w:val="16"/>
                <w:szCs w:val="16"/>
              </w:rPr>
              <w:t xml:space="preserve">□ </w:t>
            </w:r>
            <w:r>
              <w:rPr>
                <w:rFonts w:cs="Times New Roman" w:ascii="Times New Roman" w:hAnsi="Times New Roman"/>
                <w:sz w:val="16"/>
                <w:szCs w:val="16"/>
              </w:rPr>
              <w:t>Certificate of social welfare center</w:t>
            </w:r>
          </w:p>
        </w:tc>
      </w:tr>
      <w:tr>
        <w:trPr>
          <w:trHeight w:val="674" w:hRule="atLeast"/>
        </w:trPr>
        <w:tc>
          <w:tcPr>
            <w:tcW w:w="521" w:type="dxa"/>
            <w:tcBorders/>
          </w:tcPr>
          <w:p>
            <w:pPr>
              <w:pStyle w:val="Normal"/>
              <w:spacing w:lineRule="auto" w:line="240" w:before="0" w:after="0"/>
              <w:rPr>
                <w:rFonts w:ascii="Times New Roman" w:hAnsi="Times New Roman" w:cs="Times New Roman"/>
              </w:rPr>
            </w:pPr>
            <w:r>
              <w:rPr>
                <w:rFonts w:cs="Times New Roman" w:ascii="Times New Roman" w:hAnsi="Times New Roman"/>
              </w:rPr>
              <w:t>6.</w:t>
            </w:r>
          </w:p>
        </w:tc>
        <w:tc>
          <w:tcPr>
            <w:tcW w:w="2412" w:type="dxa"/>
            <w:tcBorders/>
          </w:tcPr>
          <w:p>
            <w:pPr>
              <w:pStyle w:val="Normal"/>
              <w:spacing w:lineRule="auto" w:line="240" w:before="0" w:after="0"/>
              <w:rPr>
                <w:rFonts w:ascii="Times New Roman" w:hAnsi="Times New Roman" w:cs="Times New Roman"/>
              </w:rPr>
            </w:pPr>
            <w:r>
              <w:rPr>
                <w:rFonts w:cs="Times New Roman" w:ascii="Times New Roman" w:hAnsi="Times New Roman"/>
              </w:rPr>
              <w:t>Students studying in a place outside the place of residence</w:t>
            </w:r>
          </w:p>
        </w:tc>
        <w:tc>
          <w:tcPr>
            <w:tcW w:w="1003" w:type="dxa"/>
            <w:tcBorders/>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5351" w:type="dxa"/>
            <w:tcBorders/>
          </w:tcPr>
          <w:p>
            <w:pPr>
              <w:pStyle w:val="Normal"/>
              <w:spacing w:lineRule="auto" w:line="240" w:before="0" w:after="0"/>
              <w:rPr>
                <w:rFonts w:ascii="Times New Roman" w:hAnsi="Times New Roman" w:cs="Times New Roman"/>
              </w:rPr>
            </w:pPr>
            <w:r>
              <w:rPr>
                <w:rFonts w:cs="Times New Roman" w:ascii="Times New Roman" w:hAnsi="Times New Roman"/>
                <w:sz w:val="16"/>
                <w:szCs w:val="16"/>
              </w:rPr>
              <w:t xml:space="preserve">□ </w:t>
            </w:r>
            <w:r>
              <w:rPr>
                <w:rFonts w:cs="Times New Roman" w:ascii="Times New Roman" w:hAnsi="Times New Roman"/>
                <w:sz w:val="16"/>
                <w:szCs w:val="16"/>
              </w:rPr>
              <w:t>Copy of ID card</w:t>
            </w:r>
          </w:p>
          <w:p>
            <w:pPr>
              <w:pStyle w:val="Normal"/>
              <w:spacing w:lineRule="auto" w:line="240" w:before="0" w:after="0"/>
              <w:rPr>
                <w:rFonts w:ascii="Times New Roman" w:hAnsi="Times New Roman" w:cs="Times New Roman"/>
              </w:rPr>
            </w:pPr>
            <w:r>
              <w:rPr>
                <w:rFonts w:cs="Times New Roman" w:ascii="Times New Roman" w:hAnsi="Times New Roman"/>
              </w:rPr>
            </w:r>
          </w:p>
          <w:p>
            <w:pPr>
              <w:pStyle w:val="Normal"/>
              <w:spacing w:lineRule="auto" w:line="240" w:before="0" w:after="0"/>
              <w:rPr>
                <w:rFonts w:ascii="Times New Roman" w:hAnsi="Times New Roman" w:cs="Times New Roman"/>
              </w:rPr>
            </w:pPr>
            <w:r>
              <w:rPr>
                <w:rFonts w:cs="Times New Roman" w:ascii="Times New Roman" w:hAnsi="Times New Roman"/>
                <w:sz w:val="16"/>
                <w:szCs w:val="16"/>
              </w:rPr>
              <w:t xml:space="preserve">□ </w:t>
            </w:r>
            <w:r>
              <w:rPr>
                <w:rFonts w:cs="Times New Roman" w:ascii="Times New Roman" w:hAnsi="Times New Roman"/>
                <w:sz w:val="16"/>
                <w:szCs w:val="16"/>
              </w:rPr>
              <w:t>Distance display (HAK trip planner)</w:t>
            </w:r>
          </w:p>
        </w:tc>
      </w:tr>
      <w:tr>
        <w:trPr>
          <w:trHeight w:val="674" w:hRule="atLeast"/>
        </w:trPr>
        <w:tc>
          <w:tcPr>
            <w:tcW w:w="521" w:type="dxa"/>
            <w:tcBorders/>
          </w:tcPr>
          <w:p>
            <w:pPr>
              <w:pStyle w:val="Normal"/>
              <w:spacing w:lineRule="auto" w:line="240" w:before="0" w:after="0"/>
              <w:rPr>
                <w:rFonts w:ascii="Times New Roman" w:hAnsi="Times New Roman" w:cs="Times New Roman"/>
              </w:rPr>
            </w:pPr>
            <w:r>
              <w:rPr>
                <w:rFonts w:cs="Times New Roman" w:ascii="Times New Roman" w:hAnsi="Times New Roman"/>
              </w:rPr>
              <w:t>7.</w:t>
            </w:r>
          </w:p>
        </w:tc>
        <w:tc>
          <w:tcPr>
            <w:tcW w:w="2412" w:type="dxa"/>
            <w:tcBorders/>
          </w:tcPr>
          <w:p>
            <w:pPr>
              <w:pStyle w:val="Normal"/>
              <w:spacing w:lineRule="auto" w:line="240" w:before="0" w:after="0"/>
              <w:rPr>
                <w:rFonts w:ascii="Times New Roman" w:hAnsi="Times New Roman" w:cs="Times New Roman"/>
              </w:rPr>
            </w:pPr>
            <w:r>
              <w:rPr>
                <w:rFonts w:cs="Times New Roman" w:ascii="Times New Roman" w:hAnsi="Times New Roman"/>
              </w:rPr>
              <w:t>Students working with the study (employed students)</w:t>
            </w:r>
          </w:p>
        </w:tc>
        <w:tc>
          <w:tcPr>
            <w:tcW w:w="1003" w:type="dxa"/>
            <w:tcBorders/>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5351" w:type="dxa"/>
            <w:tcBorders/>
          </w:tcPr>
          <w:p>
            <w:pPr>
              <w:pStyle w:val="Normal"/>
              <w:spacing w:lineRule="auto" w:line="240" w:before="0" w:after="0"/>
              <w:rPr>
                <w:rFonts w:ascii="Times New Roman" w:hAnsi="Times New Roman" w:cs="Times New Roman"/>
              </w:rPr>
            </w:pPr>
            <w:r>
              <w:rPr>
                <w:rFonts w:cs="Times New Roman" w:ascii="Times New Roman" w:hAnsi="Times New Roman"/>
                <w:sz w:val="16"/>
                <w:szCs w:val="16"/>
              </w:rPr>
              <w:t xml:space="preserve">□ </w:t>
            </w:r>
            <w:r>
              <w:rPr>
                <w:rFonts w:cs="Times New Roman" w:ascii="Times New Roman" w:hAnsi="Times New Roman"/>
                <w:sz w:val="16"/>
                <w:szCs w:val="16"/>
              </w:rPr>
              <w:t>E-certificate from the pension system (HZMO)</w:t>
            </w:r>
          </w:p>
        </w:tc>
      </w:tr>
      <w:tr>
        <w:trPr>
          <w:trHeight w:val="674" w:hRule="atLeast"/>
        </w:trPr>
        <w:tc>
          <w:tcPr>
            <w:tcW w:w="521" w:type="dxa"/>
            <w:tcBorders/>
          </w:tcPr>
          <w:p>
            <w:pPr>
              <w:pStyle w:val="Normal"/>
              <w:spacing w:lineRule="auto" w:line="240" w:before="0" w:after="0"/>
              <w:rPr>
                <w:rFonts w:ascii="Times New Roman" w:hAnsi="Times New Roman" w:cs="Times New Roman"/>
              </w:rPr>
            </w:pPr>
            <w:r>
              <w:rPr>
                <w:rFonts w:cs="Times New Roman" w:ascii="Times New Roman" w:hAnsi="Times New Roman"/>
              </w:rPr>
              <w:t>8.</w:t>
            </w:r>
          </w:p>
        </w:tc>
        <w:tc>
          <w:tcPr>
            <w:tcW w:w="2412" w:type="dxa"/>
            <w:tcBorders/>
          </w:tcPr>
          <w:p>
            <w:pPr>
              <w:pStyle w:val="Normal"/>
              <w:spacing w:lineRule="auto" w:line="240" w:before="0" w:after="0"/>
              <w:rPr>
                <w:rFonts w:ascii="Times New Roman" w:hAnsi="Times New Roman" w:cs="Times New Roman"/>
              </w:rPr>
            </w:pPr>
            <w:r>
              <w:rPr>
                <w:rFonts w:cs="Times New Roman" w:ascii="Times New Roman" w:hAnsi="Times New Roman"/>
              </w:rPr>
              <w:t>Students with children</w:t>
            </w:r>
          </w:p>
        </w:tc>
        <w:tc>
          <w:tcPr>
            <w:tcW w:w="1003" w:type="dxa"/>
            <w:tcBorders/>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5351" w:type="dxa"/>
            <w:tcBorders/>
          </w:tcPr>
          <w:p>
            <w:pPr>
              <w:pStyle w:val="Normal"/>
              <w:spacing w:lineRule="auto" w:line="240" w:before="0" w:after="0"/>
              <w:rPr>
                <w:rFonts w:ascii="Times New Roman" w:hAnsi="Times New Roman" w:cs="Times New Roman"/>
              </w:rPr>
            </w:pPr>
            <w:r>
              <w:rPr>
                <w:rFonts w:cs="Times New Roman" w:ascii="Times New Roman" w:hAnsi="Times New Roman"/>
                <w:sz w:val="16"/>
                <w:szCs w:val="16"/>
              </w:rPr>
              <w:t xml:space="preserve">□ </w:t>
            </w:r>
            <w:r>
              <w:rPr>
                <w:rFonts w:cs="Times New Roman" w:ascii="Times New Roman" w:hAnsi="Times New Roman"/>
                <w:sz w:val="16"/>
                <w:szCs w:val="16"/>
              </w:rPr>
              <w:t>Record from the register of children born</w:t>
            </w:r>
          </w:p>
        </w:tc>
      </w:tr>
      <w:tr>
        <w:trPr>
          <w:trHeight w:val="674" w:hRule="atLeast"/>
        </w:trPr>
        <w:tc>
          <w:tcPr>
            <w:tcW w:w="521" w:type="dxa"/>
            <w:tcBorders/>
          </w:tcPr>
          <w:p>
            <w:pPr>
              <w:pStyle w:val="Normal"/>
              <w:spacing w:lineRule="auto" w:line="240" w:before="0" w:after="0"/>
              <w:rPr>
                <w:rFonts w:ascii="Times New Roman" w:hAnsi="Times New Roman" w:cs="Times New Roman"/>
              </w:rPr>
            </w:pPr>
            <w:r>
              <w:rPr>
                <w:rFonts w:cs="Times New Roman" w:ascii="Times New Roman" w:hAnsi="Times New Roman"/>
              </w:rPr>
              <w:t xml:space="preserve">9. </w:t>
            </w:r>
          </w:p>
        </w:tc>
        <w:tc>
          <w:tcPr>
            <w:tcW w:w="2412" w:type="dxa"/>
            <w:tcBorders/>
          </w:tcPr>
          <w:p>
            <w:pPr>
              <w:pStyle w:val="Normal"/>
              <w:spacing w:lineRule="auto" w:line="240" w:before="0" w:after="0"/>
              <w:rPr>
                <w:rFonts w:ascii="Times New Roman" w:hAnsi="Times New Roman" w:cs="Times New Roman"/>
              </w:rPr>
            </w:pPr>
            <w:r>
              <w:rPr>
                <w:rFonts w:cs="Times New Roman" w:ascii="Times New Roman" w:hAnsi="Times New Roman"/>
              </w:rPr>
              <w:t>Students in the technical field, students in the humanities</w:t>
            </w:r>
          </w:p>
        </w:tc>
        <w:tc>
          <w:tcPr>
            <w:tcW w:w="1003" w:type="dxa"/>
            <w:tcBorders/>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5351" w:type="dxa"/>
            <w:tcBorders/>
          </w:tcPr>
          <w:p>
            <w:pPr>
              <w:pStyle w:val="Normal"/>
              <w:spacing w:lineRule="auto" w:line="240" w:before="0" w:after="0"/>
              <w:rPr>
                <w:rFonts w:ascii="Times New Roman" w:hAnsi="Times New Roman" w:cs="Times New Roman"/>
              </w:rPr>
            </w:pPr>
            <w:r>
              <w:rPr>
                <w:rFonts w:cs="Times New Roman" w:ascii="Times New Roman" w:hAnsi="Times New Roman"/>
              </w:rPr>
            </w:r>
          </w:p>
        </w:tc>
      </w:tr>
      <w:tr>
        <w:trPr>
          <w:trHeight w:val="674" w:hRule="atLeast"/>
        </w:trPr>
        <w:tc>
          <w:tcPr>
            <w:tcW w:w="521" w:type="dxa"/>
            <w:tcBorders/>
          </w:tcPr>
          <w:p>
            <w:pPr>
              <w:pStyle w:val="Normal"/>
              <w:spacing w:lineRule="auto" w:line="240" w:before="0" w:after="0"/>
              <w:rPr>
                <w:rFonts w:ascii="Times New Roman" w:hAnsi="Times New Roman" w:cs="Times New Roman"/>
              </w:rPr>
            </w:pPr>
            <w:r>
              <w:rPr>
                <w:rFonts w:cs="Times New Roman" w:ascii="Times New Roman" w:hAnsi="Times New Roman"/>
              </w:rPr>
              <w:t>10.</w:t>
            </w:r>
          </w:p>
        </w:tc>
        <w:tc>
          <w:tcPr>
            <w:tcW w:w="2412" w:type="dxa"/>
            <w:tcBorders/>
          </w:tcPr>
          <w:p>
            <w:pPr>
              <w:pStyle w:val="Normal"/>
              <w:spacing w:lineRule="auto" w:line="240" w:before="0" w:after="0"/>
              <w:rPr>
                <w:rFonts w:ascii="Times New Roman" w:hAnsi="Times New Roman" w:cs="Times New Roman"/>
              </w:rPr>
            </w:pPr>
            <w:r>
              <w:rPr>
                <w:rFonts w:cs="Times New Roman" w:ascii="Times New Roman" w:hAnsi="Times New Roman"/>
              </w:rPr>
              <w:t>Students from alternative care</w:t>
            </w:r>
          </w:p>
          <w:p>
            <w:pPr>
              <w:pStyle w:val="Normal"/>
              <w:spacing w:lineRule="auto" w:line="240" w:before="0" w:after="0"/>
              <w:rPr>
                <w:rFonts w:ascii="Times New Roman" w:hAnsi="Times New Roman" w:cs="Times New Roman"/>
              </w:rPr>
            </w:pPr>
            <w:r>
              <w:rPr>
                <w:rFonts w:cs="Times New Roman" w:ascii="Times New Roman" w:hAnsi="Times New Roman"/>
              </w:rPr>
            </w:r>
          </w:p>
        </w:tc>
        <w:tc>
          <w:tcPr>
            <w:tcW w:w="1003" w:type="dxa"/>
            <w:tcBorders/>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5351" w:type="dxa"/>
            <w:tcBorders/>
          </w:tcPr>
          <w:p>
            <w:pPr>
              <w:pStyle w:val="Normal"/>
              <w:spacing w:lineRule="auto" w:line="240" w:before="0" w:after="0"/>
              <w:rPr>
                <w:rFonts w:ascii="Times New Roman" w:hAnsi="Times New Roman" w:cs="Times New Roman"/>
              </w:rPr>
            </w:pPr>
            <w:r>
              <w:rPr>
                <w:rFonts w:cs="Times New Roman" w:ascii="Times New Roman" w:hAnsi="Times New Roman"/>
                <w:sz w:val="16"/>
                <w:szCs w:val="16"/>
              </w:rPr>
              <w:t xml:space="preserve">□ </w:t>
            </w:r>
            <w:r>
              <w:rPr>
                <w:rFonts w:cs="Times New Roman" w:ascii="Times New Roman" w:hAnsi="Times New Roman"/>
                <w:sz w:val="16"/>
                <w:szCs w:val="16"/>
              </w:rPr>
              <w:t>Decision recognizing the right to a social accommodation service issued by the competent institution in the field of social welfare</w:t>
            </w:r>
          </w:p>
        </w:tc>
      </w:tr>
    </w:tbl>
    <w:p>
      <w:pPr>
        <w:pStyle w:val="Normal"/>
        <w:rPr>
          <w:rFonts w:ascii="Times New Roman" w:hAnsi="Times New Roman" w:cs="Times New Roman"/>
          <w:i/>
          <w:i/>
          <w:color w:val="262626" w:themeColor="text1" w:themeTint="d9"/>
          <w:sz w:val="18"/>
          <w:szCs w:val="18"/>
        </w:rPr>
      </w:pPr>
      <w:r>
        <w:rPr>
          <w:rFonts w:cs="Times New Roman" w:ascii="Times New Roman" w:hAnsi="Times New Roman"/>
          <w:i/>
          <w:color w:val="262626" w:themeColor="text1" w:themeTint="d9"/>
          <w:sz w:val="18"/>
          <w:szCs w:val="18"/>
        </w:rPr>
        <w:t>* Detailed conditions for each category are described in the Instructions/Student Guide.</w:t>
      </w:r>
    </w:p>
    <w:p>
      <w:pPr>
        <w:pStyle w:val="Normal"/>
        <w:rPr>
          <w:rFonts w:ascii="Times New Roman" w:hAnsi="Times New Roman" w:cs="Times New Roman"/>
          <w:i/>
          <w:i/>
          <w:sz w:val="20"/>
          <w:szCs w:val="20"/>
        </w:rPr>
      </w:pPr>
      <w:r>
        <w:rPr>
          <w:rFonts w:cs="Times New Roman" w:ascii="Times New Roman" w:hAnsi="Times New Roman"/>
          <w:i/>
          <w:sz w:val="20"/>
          <w:szCs w:val="20"/>
        </w:rPr>
      </w:r>
    </w:p>
    <w:p>
      <w:pPr>
        <w:pStyle w:val="Normal"/>
        <w:rPr>
          <w:rFonts w:ascii="Times New Roman" w:hAnsi="Times New Roman" w:cs="Times New Roman"/>
          <w:i/>
          <w:i/>
          <w:sz w:val="20"/>
          <w:szCs w:val="20"/>
        </w:rPr>
      </w:pPr>
      <w:r>
        <w:rPr>
          <w:rFonts w:cs="Times New Roman" w:ascii="Times New Roman" w:hAnsi="Times New Roman"/>
          <w:i/>
          <w:sz w:val="20"/>
          <w:szCs w:val="20"/>
        </w:rPr>
      </w:r>
      <w:bookmarkStart w:id="0" w:name="_GoBack"/>
      <w:bookmarkStart w:id="1" w:name="_GoBack"/>
      <w:bookmarkEnd w:id="1"/>
    </w:p>
    <w:p>
      <w:pPr>
        <w:pStyle w:val="Normal"/>
        <w:jc w:val="both"/>
        <w:rPr>
          <w:rFonts w:ascii="Times New Roman" w:hAnsi="Times New Roman" w:cs="Times New Roman"/>
          <w:i/>
          <w:i/>
        </w:rPr>
      </w:pPr>
      <w:r>
        <w:rPr>
          <w:rFonts w:cs="Times New Roman" w:ascii="Times New Roman" w:hAnsi="Times New Roman"/>
          <w:i/>
        </w:rPr>
        <w:t>* Detailed conditions for each category are described in the Instructions/Student Guide.</w:t>
      </w:r>
    </w:p>
    <w:p>
      <w:pPr>
        <w:pStyle w:val="Normal"/>
        <w:rPr>
          <w:rFonts w:ascii="Times New Roman" w:hAnsi="Times New Roman" w:cs="Times New Roman"/>
          <w:i/>
          <w:i/>
          <w:sz w:val="18"/>
          <w:szCs w:val="18"/>
        </w:rPr>
      </w:pPr>
      <w:r>
        <w:rPr>
          <w:rFonts w:cs="Times New Roman" w:ascii="Times New Roman" w:hAnsi="Times New Roman"/>
          <w:i/>
          <w:sz w:val="18"/>
          <w:szCs w:val="18"/>
        </w:rPr>
        <w:t xml:space="preserve"> </w:t>
      </w:r>
    </w:p>
    <w:p>
      <w:pPr>
        <w:pStyle w:val="Normal"/>
        <w:spacing w:lineRule="auto" w:line="240" w:before="0" w:after="0"/>
        <w:rPr>
          <w:rFonts w:ascii="Times New Roman" w:hAnsi="Times New Roman" w:eastAsia="Times New Roman" w:cs="Times New Roman"/>
          <w:sz w:val="16"/>
          <w:szCs w:val="16"/>
          <w:lang w:eastAsia="hr-HR"/>
        </w:rPr>
      </w:pPr>
      <w:r>
        <w:rPr>
          <w:rFonts w:eastAsia="Times New Roman" w:cs="Times New Roman" w:ascii="Times New Roman" w:hAnsi="Times New Roman"/>
          <w:color w:val="auto"/>
          <w:kern w:val="0"/>
          <w:sz w:val="16"/>
          <w:szCs w:val="16"/>
          <w:lang w:val="hr-HR" w:eastAsia="hr-HR" w:bidi="ar-SA"/>
        </w:rPr>
        <w:t xml:space="preserve">In </w:t>
      </w:r>
      <w:r>
        <w:rPr>
          <w:rFonts w:eastAsia="Times New Roman" w:cs="Times New Roman" w:ascii="Times New Roman" w:hAnsi="Times New Roman"/>
          <w:sz w:val="16"/>
          <w:szCs w:val="16"/>
          <w:lang w:eastAsia="hr-HR"/>
        </w:rPr>
        <w:t>_________________________________, ________________                                                           ____________________</w:t>
      </w:r>
    </w:p>
    <w:p>
      <w:pPr>
        <w:pStyle w:val="Normal"/>
        <w:spacing w:lineRule="auto" w:line="240" w:before="0" w:after="0"/>
        <w:rPr>
          <w:rFonts w:ascii="Times New Roman" w:hAnsi="Times New Roman" w:eastAsia="Times New Roman" w:cs="Times New Roman"/>
          <w:sz w:val="16"/>
          <w:szCs w:val="16"/>
          <w:lang w:eastAsia="hr-HR"/>
        </w:rPr>
      </w:pPr>
      <w:r>
        <w:rPr>
          <w:rFonts w:eastAsia="Times New Roman" w:cs="Times New Roman" w:ascii="Times New Roman" w:hAnsi="Times New Roman"/>
          <w:sz w:val="16"/>
          <w:szCs w:val="16"/>
          <w:lang w:eastAsia="hr-HR"/>
        </w:rPr>
        <w:t xml:space="preserve">                        </w:t>
      </w:r>
      <w:r>
        <w:rPr>
          <w:rFonts w:eastAsia="Times New Roman" w:cs="Times New Roman" w:ascii="Times New Roman" w:hAnsi="Times New Roman"/>
          <w:sz w:val="16"/>
          <w:szCs w:val="16"/>
          <w:lang w:eastAsia="hr-HR"/>
        </w:rPr>
        <w:t xml:space="preserve">place </w:t>
        <w:tab/>
        <w:tab/>
        <w:tab/>
        <w:t xml:space="preserve">             date </w:t>
        <w:tab/>
        <w:tab/>
        <w:tab/>
        <w:tab/>
        <w:t xml:space="preserve">      signature of the student</w:t>
      </w:r>
    </w:p>
    <w:sectPr>
      <w:headerReference w:type="default" r:id="rId2"/>
      <w:type w:val="nextPage"/>
      <w:pgSz w:w="11906" w:h="16838"/>
      <w:pgMar w:left="1417" w:right="1417" w:header="1417" w:top="3168"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bottom w:val="single" w:sz="6" w:space="1" w:color="000000"/>
      </w:pBdr>
      <w:jc w:val="right"/>
      <w:rPr>
        <w:color w:val="000080"/>
      </w:rPr>
    </w:pPr>
    <w:r>
      <w:drawing>
        <wp:anchor behindDoc="1" distT="0" distB="0" distL="0" distR="0" simplePos="0" locked="0" layoutInCell="1" allowOverlap="1" relativeHeight="3">
          <wp:simplePos x="0" y="0"/>
          <wp:positionH relativeFrom="column">
            <wp:posOffset>40005</wp:posOffset>
          </wp:positionH>
          <wp:positionV relativeFrom="paragraph">
            <wp:posOffset>-125730</wp:posOffset>
          </wp:positionV>
          <wp:extent cx="774065" cy="774065"/>
          <wp:effectExtent l="0" t="0" r="0" b="0"/>
          <wp:wrapSquare wrapText="largest"/>
          <wp:docPr id="1"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
                  <pic:cNvPicPr>
                    <a:picLocks noChangeAspect="1" noChangeArrowheads="1"/>
                  </pic:cNvPicPr>
                </pic:nvPicPr>
                <pic:blipFill>
                  <a:blip r:embed="rId1"/>
                  <a:stretch>
                    <a:fillRect/>
                  </a:stretch>
                </pic:blipFill>
                <pic:spPr bwMode="auto">
                  <a:xfrm>
                    <a:off x="0" y="0"/>
                    <a:ext cx="774065" cy="774065"/>
                  </a:xfrm>
                  <a:prstGeom prst="rect">
                    <a:avLst/>
                  </a:prstGeom>
                </pic:spPr>
              </pic:pic>
            </a:graphicData>
          </a:graphic>
        </wp:anchor>
      </w:drawing>
    </w:r>
    <w:r>
      <w:rPr>
        <w:color w:val="000080"/>
      </w:rPr>
      <w:tab/>
    </w:r>
    <w:r>
      <w:rPr>
        <w:color w:val="000080"/>
      </w:rPr>
      <w:tab/>
      <w:tab/>
      <w:tab/>
      <w:t xml:space="preserve"> </w:t>
    </w:r>
    <w:r>
      <w:rPr>
        <w:b/>
        <w:i/>
        <w:color w:val="171717"/>
      </w:rPr>
      <w:t>Evangelical Theological Seminary in Osijek</w:t>
    </w:r>
  </w:p>
  <w:p>
    <w:pPr>
      <w:pStyle w:val="Normal"/>
      <w:pBdr>
        <w:bottom w:val="single" w:sz="6" w:space="1" w:color="000000"/>
      </w:pBdr>
      <w:spacing w:before="0" w:after="202"/>
      <w:contextualSpacing/>
      <w:jc w:val="right"/>
      <w:rPr>
        <w:color w:val="000080"/>
      </w:rPr>
    </w:pPr>
    <w:r>
      <w:rPr>
        <w:b/>
        <w:i/>
        <w:color w:val="171717"/>
      </w:rPr>
      <w:t xml:space="preserve">                                                                                                                                   </w:t>
    </w:r>
    <w:r>
      <w:rPr>
        <w:b/>
        <w:i/>
        <w:color w:val="171717"/>
      </w:rPr>
      <w:t>ERASMUS+ PROGRAM  KA1</w:t>
    </w:r>
  </w:p>
  <w:p>
    <w:pPr>
      <w:pStyle w:val="Normal"/>
      <w:pBdr>
        <w:bottom w:val="single" w:sz="6" w:space="1" w:color="000000"/>
      </w:pBdr>
      <w:spacing w:before="0" w:after="202"/>
      <w:contextualSpacing/>
      <w:jc w:val="right"/>
      <w:rPr/>
    </w:pPr>
    <w:r>
      <w:rPr>
        <w:b/>
        <w:i/>
        <w:color w:val="171717"/>
      </w:rPr>
      <w:t xml:space="preserve">       </w:t>
    </w:r>
    <w:r>
      <w:rPr>
        <w:b/>
        <w:i/>
        <w:color w:val="171717"/>
      </w:rPr>
      <w:t>Individual student mobility in the academic year 2022/2023</w:t>
    </w:r>
  </w:p>
  <w:p>
    <w:pPr>
      <w:pStyle w:val="Normal"/>
      <w:pBdr>
        <w:bottom w:val="single" w:sz="6" w:space="1" w:color="000000"/>
      </w:pBdr>
      <w:spacing w:before="0" w:after="202"/>
      <w:contextualSpacing/>
      <w:jc w:val="right"/>
      <w:rPr>
        <w:color w:val="000080"/>
      </w:rPr>
    </w:pPr>
    <w:r>
      <w:rPr>
        <w:b/>
        <w:i/>
        <w:color w:val="171717"/>
      </w:rPr>
      <w:t>Call deadline: 04.05.2022.</w:t>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hyphenationZone w:val="425"/>
  <w:themeFontLang w:val="hr-H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hr-HR"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hr-HR"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047ea2"/>
    <w:pPr>
      <w:spacing w:before="0" w:after="200"/>
      <w:ind w:left="720" w:hanging="0"/>
      <w:contextualSpacing/>
    </w:pPr>
    <w:rPr/>
  </w:style>
  <w:style w:type="paragraph" w:styleId="HeaderandFooter">
    <w:name w:val="Header and Footer"/>
    <w:basedOn w:val="Normal"/>
    <w:qFormat/>
    <w:pPr>
      <w:suppressLineNumbers/>
      <w:tabs>
        <w:tab w:val="clear" w:pos="708"/>
        <w:tab w:val="center" w:pos="4536" w:leader="none"/>
        <w:tab w:val="right" w:pos="9072" w:leader="none"/>
      </w:tabs>
    </w:pPr>
    <w:rPr/>
  </w:style>
  <w:style w:type="paragraph" w:styleId="Header">
    <w:name w:val="Header"/>
    <w:basedOn w:val="HeaderandFooter"/>
    <w:pPr>
      <w:suppressLineNumbers/>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table" w:styleId="Reetkatablice">
    <w:name w:val="Table Grid"/>
    <w:basedOn w:val="Obinatablica"/>
    <w:uiPriority w:val="59"/>
    <w:rsid w:val="009510d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Application>LibreOffice/6.4.7.2$Linux_X86_64 LibreOffice_project/40$Build-2</Application>
  <Pages>2</Pages>
  <Words>502</Words>
  <Characters>2761</Characters>
  <CharactersWithSpaces>3465</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2020-02-05T07:51:00Z</dcterms:created>
  <dc:creator>Korisnik</dc:creator>
  <dc:description/>
  <dc:language>en-US</dc:language>
  <cp:lastModifiedBy/>
  <dcterms:modified xsi:type="dcterms:W3CDTF">2022-05-02T11:45:35Z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