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center"/>
        <w:rPr>
          <w:b/>
          <w:b/>
          <w:bCs/>
        </w:rPr>
      </w:pPr>
      <w:r>
        <w:rPr>
          <w:b/>
          <w:bCs/>
        </w:rPr>
        <w:t>EVANGELICAL THEOLOGICAL SEMINARY</w:t>
      </w:r>
    </w:p>
    <w:p>
      <w:pPr>
        <w:pStyle w:val="Normal"/>
        <w:bidi w:val="0"/>
        <w:spacing w:lineRule="auto" w:line="276"/>
        <w:jc w:val="center"/>
        <w:rPr>
          <w:b w:val="false"/>
          <w:b w:val="false"/>
          <w:bCs w:val="false"/>
        </w:rPr>
      </w:pPr>
      <w:r>
        <w:rPr>
          <w:b w:val="false"/>
          <w:bCs w:val="false"/>
        </w:rPr>
        <w:t>on May 5, 2022, announces</w:t>
      </w:r>
    </w:p>
    <w:p>
      <w:pPr>
        <w:pStyle w:val="Normal"/>
        <w:bidi w:val="0"/>
        <w:spacing w:lineRule="auto" w:line="276"/>
        <w:jc w:val="center"/>
        <w:rPr>
          <w:b w:val="false"/>
          <w:b w:val="false"/>
          <w:bCs w:val="false"/>
        </w:rPr>
      </w:pPr>
      <w:r>
        <w:rPr>
          <w:b w:val="false"/>
          <w:bCs w:val="false"/>
        </w:rPr>
      </w:r>
    </w:p>
    <w:p>
      <w:pPr>
        <w:pStyle w:val="Normal"/>
        <w:bidi w:val="0"/>
        <w:spacing w:lineRule="auto" w:line="276"/>
        <w:jc w:val="center"/>
        <w:rPr>
          <w:b w:val="false"/>
          <w:b w:val="false"/>
          <w:bCs w:val="false"/>
        </w:rPr>
      </w:pPr>
      <w:r>
        <w:rPr>
          <w:b w:val="false"/>
          <w:bCs w:val="false"/>
        </w:rPr>
      </w:r>
    </w:p>
    <w:p>
      <w:pPr>
        <w:pStyle w:val="Normal"/>
        <w:bidi w:val="0"/>
        <w:spacing w:lineRule="auto" w:line="276"/>
        <w:jc w:val="center"/>
        <w:rPr>
          <w:b/>
          <w:b/>
          <w:bCs/>
        </w:rPr>
      </w:pPr>
      <w:r>
        <w:rPr>
          <w:b/>
          <w:bCs/>
        </w:rPr>
        <w:t>CALL</w:t>
      </w:r>
    </w:p>
    <w:p>
      <w:pPr>
        <w:pStyle w:val="Normal"/>
        <w:bidi w:val="0"/>
        <w:spacing w:lineRule="auto" w:line="276"/>
        <w:jc w:val="center"/>
        <w:rPr/>
      </w:pPr>
      <w:r>
        <w:rPr/>
        <w:t xml:space="preserve"> </w:t>
      </w:r>
      <w:r>
        <w:rPr/>
        <w:t xml:space="preserve">for applications for  student mobility for studies </w:t>
      </w:r>
      <w:r>
        <w:rPr/>
        <w:t xml:space="preserve">within the </w:t>
      </w:r>
      <w:r>
        <w:rPr/>
        <w:t xml:space="preserve">Erasmus+ </w:t>
      </w:r>
      <w:r>
        <w:rPr>
          <w:b w:val="false"/>
          <w:bCs w:val="false"/>
        </w:rPr>
        <w:t>program of key activities 1 within the program countries (KA131) for the academic year 2022/2023.</w:t>
      </w:r>
    </w:p>
    <w:p>
      <w:pPr>
        <w:pStyle w:val="Normal"/>
        <w:bidi w:val="0"/>
        <w:spacing w:lineRule="auto" w:line="276"/>
        <w:jc w:val="center"/>
        <w:rPr>
          <w:b w:val="false"/>
          <w:b w:val="false"/>
          <w:bCs w:val="false"/>
        </w:rPr>
      </w:pPr>
      <w:r>
        <w:rPr>
          <w:b w:val="false"/>
          <w:bCs w:val="false"/>
        </w:rPr>
      </w:r>
    </w:p>
    <w:p>
      <w:pPr>
        <w:pStyle w:val="Normal"/>
        <w:bidi w:val="0"/>
        <w:spacing w:lineRule="auto" w:line="276"/>
        <w:jc w:val="center"/>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b/>
          <w:bCs/>
        </w:rPr>
      </w:pPr>
      <w:r>
        <w:rPr>
          <w:b/>
          <w:bCs/>
        </w:rPr>
        <w:t xml:space="preserve">General conditions of the </w:t>
      </w:r>
      <w:r>
        <w:rPr>
          <w:b/>
          <w:bCs/>
        </w:rPr>
        <w:t>Call</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t>Terms used in the Ordinance, which have a gender meaning, regardless of whether they are used in the masculine or feminine gender, include the masculine and feminine genders in the same way.</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pPr>
      <w:r>
        <w:rPr>
          <w:b w:val="false"/>
          <w:bCs w:val="false"/>
        </w:rPr>
        <w:t xml:space="preserve">In December 2020, the Evangelical Theological </w:t>
      </w:r>
      <w:r>
        <w:rPr>
          <w:b w:val="false"/>
          <w:bCs w:val="false"/>
        </w:rPr>
        <w:t>Seminary</w:t>
      </w:r>
      <w:r>
        <w:rPr>
          <w:b w:val="false"/>
          <w:bCs w:val="false"/>
        </w:rPr>
        <w:t xml:space="preserve"> was awarded the Erasmus Charter for Higher Education (ECHE), which enabled the university to participate in the Erasmus + program for the period 2021-2027.</w:t>
      </w:r>
    </w:p>
    <w:p>
      <w:pPr>
        <w:pStyle w:val="Normal"/>
        <w:bidi w:val="0"/>
        <w:spacing w:lineRule="auto" w:line="276"/>
        <w:jc w:val="both"/>
        <w:rPr>
          <w:b w:val="false"/>
          <w:b w:val="false"/>
          <w:bCs w:val="false"/>
        </w:rPr>
      </w:pPr>
      <w:r>
        <w:rPr/>
      </w:r>
    </w:p>
    <w:p>
      <w:pPr>
        <w:pStyle w:val="Normal"/>
        <w:bidi w:val="0"/>
        <w:spacing w:lineRule="auto" w:line="276"/>
        <w:jc w:val="both"/>
        <w:rPr/>
      </w:pPr>
      <w:r>
        <w:rPr>
          <w:b w:val="false"/>
          <w:bCs w:val="false"/>
        </w:rPr>
        <w:t xml:space="preserve">Evangelical Theological </w:t>
      </w:r>
      <w:r>
        <w:rPr>
          <w:b w:val="false"/>
          <w:bCs w:val="false"/>
        </w:rPr>
        <w:t>Seminary</w:t>
      </w:r>
      <w:r>
        <w:rPr>
          <w:b w:val="false"/>
          <w:bCs w:val="false"/>
        </w:rPr>
        <w:t xml:space="preserve"> (hereinafter </w:t>
      </w:r>
      <w:r>
        <w:rPr>
          <w:b w:val="false"/>
          <w:bCs w:val="false"/>
        </w:rPr>
        <w:t>ETS</w:t>
      </w:r>
      <w:r>
        <w:rPr>
          <w:b w:val="false"/>
          <w:bCs w:val="false"/>
        </w:rPr>
        <w:t xml:space="preserve">) announces a </w:t>
      </w:r>
      <w:r>
        <w:rPr>
          <w:b w:val="false"/>
          <w:bCs w:val="false"/>
        </w:rPr>
        <w:t>Call</w:t>
      </w:r>
      <w:r>
        <w:rPr>
          <w:b w:val="false"/>
          <w:bCs w:val="false"/>
        </w:rPr>
        <w:t xml:space="preserve"> for the selection of students who will be awarded financial support for study stays at foreign higher education institutions with which VETU has signed an Erasmus + interinstitutional agreement on student exchange (institutions are listed in the Application Guide ), if the Agency for Mobility and EU Programs provides VETU with financial support for the implementation of the Erasmus program.</w:t>
      </w:r>
    </w:p>
    <w:p>
      <w:pPr>
        <w:pStyle w:val="Normal"/>
        <w:bidi w:val="0"/>
        <w:spacing w:lineRule="auto" w:line="276"/>
        <w:jc w:val="both"/>
        <w:rPr>
          <w:b w:val="false"/>
          <w:b w:val="false"/>
          <w:bCs w:val="false"/>
        </w:rPr>
      </w:pPr>
      <w:r>
        <w:rPr/>
      </w:r>
    </w:p>
    <w:p>
      <w:pPr>
        <w:pStyle w:val="Normal"/>
        <w:bidi w:val="0"/>
        <w:spacing w:lineRule="auto" w:line="276"/>
        <w:jc w:val="both"/>
        <w:rPr/>
      </w:pPr>
      <w:r>
        <w:rPr>
          <w:b w:val="false"/>
          <w:bCs w:val="false"/>
        </w:rPr>
        <w:t>Students who apply for the C</w:t>
      </w:r>
      <w:r>
        <w:rPr>
          <w:b w:val="false"/>
          <w:bCs w:val="false"/>
        </w:rPr>
        <w:t>all</w:t>
      </w:r>
      <w:r>
        <w:rPr>
          <w:b w:val="false"/>
          <w:bCs w:val="false"/>
        </w:rPr>
        <w:t xml:space="preserve"> and meet all the conditions of the C</w:t>
      </w:r>
      <w:r>
        <w:rPr>
          <w:b w:val="false"/>
          <w:bCs w:val="false"/>
        </w:rPr>
        <w:t>all</w:t>
      </w:r>
      <w:r>
        <w:rPr>
          <w:b w:val="false"/>
          <w:bCs w:val="false"/>
        </w:rPr>
        <w:t>, but do not enter the circle of scholarship students, can go to the exchange at their own expense (so-called Zero-grant students).</w:t>
      </w:r>
    </w:p>
    <w:p>
      <w:pPr>
        <w:pStyle w:val="Normal"/>
        <w:bidi w:val="0"/>
        <w:spacing w:lineRule="auto" w:line="276"/>
        <w:jc w:val="both"/>
        <w:rPr>
          <w:b w:val="false"/>
          <w:b w:val="false"/>
          <w:bCs w:val="false"/>
        </w:rPr>
      </w:pPr>
      <w:r>
        <w:rPr/>
      </w:r>
    </w:p>
    <w:p>
      <w:pPr>
        <w:pStyle w:val="Normal"/>
        <w:bidi w:val="0"/>
        <w:spacing w:lineRule="auto" w:line="276"/>
        <w:jc w:val="both"/>
        <w:rPr/>
      </w:pPr>
      <w:r>
        <w:rPr>
          <w:b w:val="false"/>
          <w:bCs w:val="false"/>
        </w:rPr>
        <w:t>Erasmus + exchanges can last a minimum of 2 months (or one trimester of the academic year) and a maximum of 12 months, and can take place in program countries (EU Member States and Northern Macedonia, Serbia, Iceland, Liechtenstein, Norway and Turkey). In the academic year 2022/23. the exchange can take place in the period from 0</w:t>
      </w:r>
      <w:r>
        <w:rPr>
          <w:b w:val="false"/>
          <w:bCs w:val="false"/>
        </w:rPr>
        <w:t>9/01/</w:t>
      </w:r>
      <w:r>
        <w:rPr>
          <w:b w:val="false"/>
          <w:bCs w:val="false"/>
        </w:rPr>
        <w:t>2022 to 09/30/2023</w:t>
      </w:r>
    </w:p>
    <w:p>
      <w:pPr>
        <w:pStyle w:val="Normal"/>
        <w:bidi w:val="0"/>
        <w:spacing w:lineRule="auto" w:line="276"/>
        <w:jc w:val="both"/>
        <w:rPr>
          <w:b w:val="false"/>
          <w:b w:val="false"/>
          <w:bCs w:val="false"/>
        </w:rPr>
      </w:pPr>
      <w:r>
        <w:rPr/>
      </w:r>
    </w:p>
    <w:p>
      <w:pPr>
        <w:pStyle w:val="Normal"/>
        <w:bidi w:val="0"/>
        <w:spacing w:lineRule="auto" w:line="276"/>
        <w:jc w:val="both"/>
        <w:rPr/>
      </w:pPr>
      <w:r>
        <w:rPr>
          <w:b w:val="false"/>
          <w:bCs w:val="false"/>
        </w:rPr>
        <w:t>Students participating in the Erasmus + exchange are exempt from paying tuition fees at foreign higher education institutions. Students remain enrolled in their home university for the entire duration of the student exchange, but may not be in dormant status at the home institution. The student is obliged to cover the costs of studying at the home university (</w:t>
      </w:r>
      <w:r>
        <w:rPr>
          <w:b w:val="false"/>
          <w:bCs w:val="false"/>
        </w:rPr>
        <w:t>ETS</w:t>
      </w:r>
      <w:r>
        <w:rPr>
          <w:b w:val="false"/>
          <w:bCs w:val="false"/>
        </w:rPr>
        <w:t xml:space="preserve">) in accordance with the study contract concluded with </w:t>
      </w:r>
      <w:r>
        <w:rPr>
          <w:b w:val="false"/>
          <w:bCs w:val="false"/>
        </w:rPr>
        <w:t>ETS</w:t>
      </w:r>
      <w:r>
        <w:rPr>
          <w:b w:val="false"/>
          <w:bCs w:val="false"/>
        </w:rPr>
        <w:t xml:space="preserve"> and for the duration of the mobility.</w:t>
      </w:r>
    </w:p>
    <w:p>
      <w:pPr>
        <w:pStyle w:val="Normal"/>
        <w:bidi w:val="0"/>
        <w:spacing w:lineRule="auto" w:line="276"/>
        <w:jc w:val="both"/>
        <w:rPr>
          <w:b w:val="false"/>
          <w:b w:val="false"/>
          <w:bCs w:val="false"/>
        </w:rPr>
      </w:pPr>
      <w:r>
        <w:rPr/>
      </w:r>
    </w:p>
    <w:p>
      <w:pPr>
        <w:pStyle w:val="Normal"/>
        <w:bidi w:val="0"/>
        <w:spacing w:lineRule="auto" w:line="276"/>
        <w:jc w:val="both"/>
        <w:rPr>
          <w:b w:val="false"/>
          <w:b w:val="false"/>
          <w:bCs w:val="false"/>
        </w:rPr>
      </w:pPr>
      <w:r>
        <w:rPr/>
      </w:r>
      <w:r>
        <w:br w:type="page"/>
      </w:r>
    </w:p>
    <w:p>
      <w:pPr>
        <w:pStyle w:val="Normal"/>
        <w:bidi w:val="0"/>
        <w:spacing w:lineRule="auto" w:line="276"/>
        <w:jc w:val="both"/>
        <w:rPr/>
      </w:pPr>
      <w:r>
        <w:rPr>
          <w:b/>
          <w:bCs/>
        </w:rPr>
        <w:t xml:space="preserve">Eligible applicants and conditions for </w:t>
      </w:r>
      <w:r>
        <w:rPr>
          <w:b/>
          <w:bCs/>
        </w:rPr>
        <w:t>realization</w:t>
      </w:r>
      <w:r>
        <w:rPr>
          <w:b/>
          <w:bCs/>
        </w:rPr>
        <w:t xml:space="preserve"> the right to financial support</w:t>
      </w:r>
    </w:p>
    <w:p>
      <w:pPr>
        <w:pStyle w:val="Normal"/>
        <w:bidi w:val="0"/>
        <w:spacing w:lineRule="auto" w:line="276"/>
        <w:jc w:val="both"/>
        <w:rPr>
          <w:b/>
          <w:b/>
          <w:bCs/>
        </w:rPr>
      </w:pPr>
      <w:r>
        <w:rPr>
          <w:b/>
          <w:bCs/>
        </w:rPr>
      </w:r>
    </w:p>
    <w:p>
      <w:pPr>
        <w:pStyle w:val="Normal"/>
        <w:bidi w:val="0"/>
        <w:spacing w:lineRule="auto" w:line="276"/>
        <w:jc w:val="both"/>
        <w:rPr/>
      </w:pPr>
      <w:r>
        <w:rPr>
          <w:b w:val="false"/>
          <w:bCs w:val="false"/>
        </w:rPr>
        <w:t xml:space="preserve">Full-time and part-time students who are enrolled in undergraduate or graduate studies at </w:t>
      </w:r>
      <w:r>
        <w:rPr>
          <w:b w:val="false"/>
          <w:bCs w:val="false"/>
        </w:rPr>
        <w:t>ETS</w:t>
      </w:r>
      <w:r>
        <w:rPr>
          <w:b w:val="false"/>
          <w:bCs w:val="false"/>
        </w:rPr>
        <w:t xml:space="preserve"> can apply for the </w:t>
      </w:r>
      <w:r>
        <w:rPr>
          <w:b w:val="false"/>
          <w:bCs w:val="false"/>
        </w:rPr>
        <w:t>Call</w:t>
      </w:r>
      <w:r>
        <w:rPr>
          <w:b w:val="false"/>
          <w:bCs w:val="false"/>
        </w:rPr>
        <w:t>. Students who apply for mobility during the 2nd year of undergraduate study must have achieved a minimum of 60 ECTS.</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pPr>
      <w:r>
        <w:rPr>
          <w:b w:val="false"/>
          <w:bCs w:val="false"/>
        </w:rPr>
        <w:t xml:space="preserve">Students who attend the last year of undergraduate study when applying for the </w:t>
      </w:r>
      <w:r>
        <w:rPr>
          <w:b w:val="false"/>
          <w:bCs w:val="false"/>
        </w:rPr>
        <w:t>Call</w:t>
      </w:r>
      <w:r>
        <w:rPr>
          <w:b w:val="false"/>
          <w:bCs w:val="false"/>
        </w:rPr>
        <w:t xml:space="preserve">, and apply for a student exchange during the first year of graduate study, can apply for mobility only in the summer semester during the first year of graduate study. If a student does not complete an undergraduate degree and enroll in a graduate degree, he / she cannot go on mobility. At the same time, if a student is selected for mobility at the undergraduate level through a </w:t>
      </w:r>
      <w:r>
        <w:rPr>
          <w:b w:val="false"/>
          <w:bCs w:val="false"/>
        </w:rPr>
        <w:t>call</w:t>
      </w:r>
      <w:r>
        <w:rPr>
          <w:b w:val="false"/>
          <w:bCs w:val="false"/>
        </w:rPr>
        <w:t>, and in the meantime has enrolled in graduate studies, he / she cannot go for mobility.</w:t>
      </w:r>
    </w:p>
    <w:p>
      <w:pPr>
        <w:pStyle w:val="Normal"/>
        <w:bidi w:val="0"/>
        <w:spacing w:lineRule="auto" w:line="276"/>
        <w:jc w:val="both"/>
        <w:rPr>
          <w:b/>
          <w:b/>
          <w:bCs/>
        </w:rPr>
      </w:pPr>
      <w:r>
        <w:rPr>
          <w:b/>
          <w:bCs/>
        </w:rPr>
      </w:r>
    </w:p>
    <w:p>
      <w:pPr>
        <w:pStyle w:val="Normal"/>
        <w:bidi w:val="0"/>
        <w:spacing w:lineRule="auto" w:line="276"/>
        <w:jc w:val="both"/>
        <w:rPr>
          <w:b/>
          <w:b/>
          <w:bCs/>
        </w:rPr>
      </w:pPr>
      <w:r>
        <w:rPr>
          <w:b/>
          <w:bCs/>
        </w:rPr>
      </w:r>
    </w:p>
    <w:p>
      <w:pPr>
        <w:pStyle w:val="Normal"/>
        <w:bidi w:val="0"/>
        <w:spacing w:lineRule="auto" w:line="276"/>
        <w:jc w:val="both"/>
        <w:rPr>
          <w:b/>
          <w:b/>
          <w:bCs/>
        </w:rPr>
      </w:pPr>
      <w:r>
        <w:rPr>
          <w:b/>
          <w:bCs/>
        </w:rPr>
        <w:t>Application documentation</w:t>
      </w:r>
    </w:p>
    <w:p>
      <w:pPr>
        <w:pStyle w:val="Normal"/>
        <w:bidi w:val="0"/>
        <w:spacing w:lineRule="auto" w:line="276"/>
        <w:jc w:val="both"/>
        <w:rPr>
          <w:b w:val="false"/>
          <w:b w:val="false"/>
          <w:bCs w:val="false"/>
        </w:rPr>
      </w:pPr>
      <w:r>
        <w:rPr/>
      </w:r>
    </w:p>
    <w:p>
      <w:pPr>
        <w:pStyle w:val="Normal"/>
        <w:numPr>
          <w:ilvl w:val="0"/>
          <w:numId w:val="1"/>
        </w:numPr>
        <w:bidi w:val="0"/>
        <w:spacing w:lineRule="auto" w:line="276"/>
        <w:jc w:val="both"/>
        <w:rPr/>
      </w:pPr>
      <w:r>
        <w:rPr>
          <w:b w:val="false"/>
          <w:bCs w:val="false"/>
        </w:rPr>
        <w:t>Completed application form for students, containing a motivation letter and resume</w:t>
      </w:r>
    </w:p>
    <w:p>
      <w:pPr>
        <w:pStyle w:val="Normal"/>
        <w:numPr>
          <w:ilvl w:val="0"/>
          <w:numId w:val="1"/>
        </w:numPr>
        <w:bidi w:val="0"/>
        <w:spacing w:lineRule="auto" w:line="276"/>
        <w:jc w:val="both"/>
        <w:rPr/>
      </w:pPr>
      <w:r>
        <w:rPr>
          <w:b w:val="false"/>
          <w:bCs w:val="false"/>
        </w:rPr>
        <w:t>Copy of identity card or valid travel document</w:t>
      </w:r>
    </w:p>
    <w:p>
      <w:pPr>
        <w:pStyle w:val="Normal"/>
        <w:numPr>
          <w:ilvl w:val="0"/>
          <w:numId w:val="1"/>
        </w:numPr>
        <w:bidi w:val="0"/>
        <w:spacing w:lineRule="auto" w:line="276"/>
        <w:jc w:val="both"/>
        <w:rPr/>
      </w:pPr>
      <w:r>
        <w:rPr>
          <w:b w:val="false"/>
          <w:bCs w:val="false"/>
        </w:rPr>
        <w:t xml:space="preserve">Certificate of student status at </w:t>
      </w:r>
      <w:r>
        <w:rPr>
          <w:b w:val="false"/>
          <w:bCs w:val="false"/>
        </w:rPr>
        <w:t>ETS</w:t>
      </w:r>
      <w:r>
        <w:rPr>
          <w:b w:val="false"/>
          <w:bCs w:val="false"/>
        </w:rPr>
        <w:t xml:space="preserve"> in the academic year. 2021/2022 with a transcript of grades of exams passed so far and ECTS credits achieved</w:t>
      </w:r>
    </w:p>
    <w:p>
      <w:pPr>
        <w:pStyle w:val="Normal"/>
        <w:numPr>
          <w:ilvl w:val="0"/>
          <w:numId w:val="1"/>
        </w:numPr>
        <w:bidi w:val="0"/>
        <w:spacing w:lineRule="auto" w:line="276"/>
        <w:jc w:val="both"/>
        <w:rPr/>
      </w:pPr>
      <w:r>
        <w:rPr>
          <w:b w:val="false"/>
          <w:bCs w:val="false"/>
        </w:rPr>
        <w:t>Application form for persons with special needs (if necessary) - APPENDIX 2</w:t>
      </w:r>
    </w:p>
    <w:p>
      <w:pPr>
        <w:pStyle w:val="Normal"/>
        <w:numPr>
          <w:ilvl w:val="0"/>
          <w:numId w:val="1"/>
        </w:numPr>
        <w:bidi w:val="0"/>
        <w:spacing w:lineRule="auto" w:line="276"/>
        <w:jc w:val="both"/>
        <w:rPr/>
      </w:pPr>
      <w:r>
        <w:rPr>
          <w:b w:val="false"/>
          <w:bCs w:val="false"/>
        </w:rPr>
        <w:t xml:space="preserve">If additional financial support is requested for underrepresented or vulnerable groups of students, the mandatory </w:t>
      </w:r>
      <w:r>
        <w:rPr>
          <w:b w:val="false"/>
          <w:bCs w:val="false"/>
        </w:rPr>
        <w:t>call</w:t>
      </w:r>
      <w:r>
        <w:rPr>
          <w:b w:val="false"/>
          <w:bCs w:val="false"/>
        </w:rPr>
        <w:t xml:space="preserve"> documentation and conditions are listed in ANNEX 3 of the </w:t>
      </w:r>
      <w:r>
        <w:rPr>
          <w:b w:val="false"/>
          <w:bCs w:val="false"/>
        </w:rPr>
        <w:t>call</w:t>
      </w:r>
      <w:r>
        <w:rPr>
          <w:b w:val="false"/>
          <w:bCs w:val="false"/>
        </w:rPr>
        <w:t>.</w:t>
      </w:r>
    </w:p>
    <w:p>
      <w:pPr>
        <w:pStyle w:val="Normal"/>
        <w:bidi w:val="0"/>
        <w:spacing w:lineRule="auto" w:line="276"/>
        <w:jc w:val="both"/>
        <w:rPr>
          <w:b w:val="false"/>
          <w:b w:val="false"/>
          <w:bCs w:val="false"/>
        </w:rPr>
      </w:pPr>
      <w:r>
        <w:rPr/>
      </w:r>
    </w:p>
    <w:p>
      <w:pPr>
        <w:pStyle w:val="Normal"/>
        <w:bidi w:val="0"/>
        <w:spacing w:lineRule="auto" w:line="276"/>
        <w:jc w:val="both"/>
        <w:rPr/>
      </w:pPr>
      <w:r>
        <w:rPr>
          <w:b w:val="false"/>
          <w:bCs w:val="false"/>
        </w:rPr>
        <w:t xml:space="preserve">All the above forms are available on the </w:t>
      </w:r>
      <w:r>
        <w:rPr>
          <w:b w:val="false"/>
          <w:bCs w:val="false"/>
        </w:rPr>
        <w:t>ETS</w:t>
      </w:r>
      <w:r>
        <w:rPr>
          <w:b w:val="false"/>
          <w:bCs w:val="false"/>
        </w:rPr>
        <w:t xml:space="preserve"> website as an appendix to this call.</w:t>
      </w:r>
    </w:p>
    <w:p>
      <w:pPr>
        <w:pStyle w:val="Normal"/>
        <w:bidi w:val="0"/>
        <w:spacing w:lineRule="auto" w:line="276"/>
        <w:jc w:val="both"/>
        <w:rPr>
          <w:b w:val="false"/>
          <w:b w:val="false"/>
          <w:bCs w:val="false"/>
        </w:rPr>
      </w:pPr>
      <w:r>
        <w:rPr/>
      </w:r>
    </w:p>
    <w:p>
      <w:pPr>
        <w:pStyle w:val="Normal"/>
        <w:bidi w:val="0"/>
        <w:spacing w:lineRule="auto" w:line="276"/>
        <w:jc w:val="both"/>
        <w:rPr>
          <w:b w:val="false"/>
          <w:b w:val="false"/>
          <w:bCs w:val="false"/>
        </w:rPr>
      </w:pPr>
      <w:r>
        <w:rPr/>
      </w:r>
    </w:p>
    <w:p>
      <w:pPr>
        <w:pStyle w:val="Normal"/>
        <w:bidi w:val="0"/>
        <w:spacing w:lineRule="auto" w:line="276"/>
        <w:jc w:val="both"/>
        <w:rPr>
          <w:b/>
          <w:b/>
          <w:bCs/>
        </w:rPr>
      </w:pPr>
      <w:r>
        <w:rPr>
          <w:b/>
          <w:bCs/>
        </w:rPr>
        <w:t>Amount of financial support</w:t>
      </w:r>
    </w:p>
    <w:p>
      <w:pPr>
        <w:pStyle w:val="Normal"/>
        <w:bidi w:val="0"/>
        <w:spacing w:lineRule="auto" w:line="276"/>
        <w:jc w:val="both"/>
        <w:rPr>
          <w:b w:val="false"/>
          <w:b w:val="false"/>
          <w:bCs w:val="false"/>
        </w:rPr>
      </w:pPr>
      <w:r>
        <w:rPr/>
      </w:r>
    </w:p>
    <w:p>
      <w:pPr>
        <w:pStyle w:val="Normal"/>
        <w:bidi w:val="0"/>
        <w:spacing w:lineRule="auto" w:line="276"/>
        <w:jc w:val="both"/>
        <w:rPr/>
      </w:pPr>
      <w:r>
        <w:rPr>
          <w:b w:val="false"/>
          <w:bCs w:val="false"/>
        </w:rPr>
        <w:t xml:space="preserve">Financial support that a student can receive from Erasmus + funds for the academic year 2022/2023. for program countries where higher education institutions are partners, for outgoing students it will amount to </w:t>
      </w:r>
      <w:r>
        <w:rPr>
          <w:b/>
          <w:bCs/>
        </w:rPr>
        <w:t>€ 550</w:t>
      </w:r>
      <w:r>
        <w:rPr>
          <w:b w:val="false"/>
          <w:bCs w:val="false"/>
        </w:rPr>
        <w:t>. The financial support will be disbursed in kuna equivalent until a new notification on the handling of financial support payments after the introduction of the euro.</w:t>
      </w:r>
    </w:p>
    <w:p>
      <w:pPr>
        <w:pStyle w:val="Normal"/>
        <w:bidi w:val="0"/>
        <w:spacing w:lineRule="auto" w:line="276"/>
        <w:jc w:val="both"/>
        <w:rPr>
          <w:b w:val="false"/>
          <w:b w:val="false"/>
          <w:bCs w:val="false"/>
        </w:rPr>
      </w:pPr>
      <w:r>
        <w:rPr/>
      </w:r>
    </w:p>
    <w:p>
      <w:pPr>
        <w:pStyle w:val="Normal"/>
        <w:bidi w:val="0"/>
        <w:spacing w:lineRule="auto" w:line="276"/>
        <w:jc w:val="both"/>
        <w:rPr/>
      </w:pPr>
      <w:r>
        <w:rPr>
          <w:b w:val="false"/>
          <w:bCs w:val="false"/>
        </w:rPr>
        <w:t>More detailed information on grants can be found in the guide for outgoing students, which will be available on the university's website.</w:t>
      </w:r>
    </w:p>
    <w:p>
      <w:pPr>
        <w:pStyle w:val="Normal"/>
        <w:bidi w:val="0"/>
        <w:spacing w:lineRule="auto" w:line="276"/>
        <w:jc w:val="both"/>
        <w:rPr>
          <w:b w:val="false"/>
          <w:b w:val="false"/>
          <w:bCs w:val="false"/>
        </w:rPr>
      </w:pPr>
      <w:r>
        <w:rPr/>
      </w:r>
    </w:p>
    <w:p>
      <w:pPr>
        <w:pStyle w:val="Normal"/>
        <w:bidi w:val="0"/>
        <w:spacing w:lineRule="auto" w:line="276"/>
        <w:jc w:val="both"/>
        <w:rPr>
          <w:b w:val="false"/>
          <w:b w:val="false"/>
          <w:bCs w:val="false"/>
        </w:rPr>
      </w:pPr>
      <w:r>
        <w:rPr/>
      </w:r>
    </w:p>
    <w:p>
      <w:pPr>
        <w:pStyle w:val="Normal"/>
        <w:bidi w:val="0"/>
        <w:spacing w:lineRule="auto" w:line="276"/>
        <w:jc w:val="both"/>
        <w:rPr>
          <w:b/>
          <w:b/>
          <w:bCs/>
        </w:rPr>
      </w:pPr>
      <w:r>
        <w:rPr>
          <w:b/>
          <w:bCs/>
        </w:rPr>
        <w:t>“</w:t>
      </w:r>
      <w:r>
        <w:rPr>
          <w:b/>
          <w:bCs/>
        </w:rPr>
        <w:t>GREEN” TRAVEL Supplement</w:t>
      </w:r>
    </w:p>
    <w:p>
      <w:pPr>
        <w:pStyle w:val="Normal"/>
        <w:bidi w:val="0"/>
        <w:spacing w:lineRule="auto" w:line="276"/>
        <w:jc w:val="both"/>
        <w:rPr>
          <w:b w:val="false"/>
          <w:b w:val="false"/>
          <w:bCs w:val="false"/>
        </w:rPr>
      </w:pPr>
      <w:r>
        <w:rPr/>
      </w:r>
    </w:p>
    <w:p>
      <w:pPr>
        <w:pStyle w:val="Normal"/>
        <w:bidi w:val="0"/>
        <w:spacing w:lineRule="auto" w:line="276"/>
        <w:jc w:val="both"/>
        <w:rPr/>
      </w:pPr>
      <w:r>
        <w:rPr>
          <w:b w:val="false"/>
          <w:bCs w:val="false"/>
        </w:rPr>
        <w:t>Green travel is defined as a journey on which low-emission vehicles, such as bus, train, bicycle or car-pooling, are used for most of the journey (more than half of the return journey). In case students use the green way of traveling, they can additionally receive a one-time contribution in the amount of € 50. More details will be available in the Instructions next to the results of the Call.</w:t>
      </w:r>
    </w:p>
    <w:p>
      <w:pPr>
        <w:pStyle w:val="Normal"/>
        <w:bidi w:val="0"/>
        <w:spacing w:lineRule="auto" w:line="276"/>
        <w:jc w:val="both"/>
        <w:rPr>
          <w:b w:val="false"/>
          <w:b w:val="false"/>
          <w:bCs w:val="false"/>
        </w:rPr>
      </w:pPr>
      <w:r>
        <w:rPr/>
      </w:r>
    </w:p>
    <w:p>
      <w:pPr>
        <w:pStyle w:val="Normal"/>
        <w:bidi w:val="0"/>
        <w:spacing w:lineRule="auto" w:line="276"/>
        <w:jc w:val="both"/>
        <w:rPr>
          <w:b/>
          <w:b/>
          <w:bCs/>
        </w:rPr>
      </w:pPr>
      <w:r>
        <w:rPr>
          <w:b/>
          <w:bCs/>
        </w:rPr>
      </w:r>
    </w:p>
    <w:p>
      <w:pPr>
        <w:pStyle w:val="Normal"/>
        <w:bidi w:val="0"/>
        <w:spacing w:lineRule="auto" w:line="276"/>
        <w:jc w:val="both"/>
        <w:rPr>
          <w:b/>
          <w:b/>
          <w:bCs/>
        </w:rPr>
      </w:pPr>
      <w:r>
        <w:rPr>
          <w:b/>
          <w:bCs/>
        </w:rPr>
        <w:t>Selection criteria</w:t>
      </w:r>
    </w:p>
    <w:p>
      <w:pPr>
        <w:pStyle w:val="Normal"/>
        <w:bidi w:val="0"/>
        <w:spacing w:lineRule="auto" w:line="276"/>
        <w:jc w:val="both"/>
        <w:rPr>
          <w:b/>
          <w:b/>
          <w:bCs/>
        </w:rPr>
      </w:pPr>
      <w:r>
        <w:rPr>
          <w:b/>
          <w:bCs/>
        </w:rPr>
      </w:r>
    </w:p>
    <w:p>
      <w:pPr>
        <w:pStyle w:val="Normal"/>
        <w:numPr>
          <w:ilvl w:val="0"/>
          <w:numId w:val="2"/>
        </w:numPr>
        <w:bidi w:val="0"/>
        <w:spacing w:lineRule="auto" w:line="276"/>
        <w:jc w:val="both"/>
        <w:rPr/>
      </w:pPr>
      <w:r>
        <w:rPr>
          <w:b w:val="false"/>
          <w:bCs w:val="false"/>
        </w:rPr>
        <w:t xml:space="preserve">Proper and timely application (fully and correctly filled in the application form; complete documentation requested by the </w:t>
      </w:r>
      <w:r>
        <w:rPr>
          <w:b w:val="false"/>
          <w:bCs w:val="false"/>
        </w:rPr>
        <w:t>Call</w:t>
      </w:r>
      <w:r>
        <w:rPr>
          <w:b w:val="false"/>
          <w:bCs w:val="false"/>
        </w:rPr>
        <w:t>);</w:t>
      </w:r>
    </w:p>
    <w:p>
      <w:pPr>
        <w:pStyle w:val="Normal"/>
        <w:numPr>
          <w:ilvl w:val="0"/>
          <w:numId w:val="2"/>
        </w:numPr>
        <w:bidi w:val="0"/>
        <w:spacing w:lineRule="auto" w:line="276"/>
        <w:jc w:val="both"/>
        <w:rPr/>
      </w:pPr>
      <w:r>
        <w:rPr>
          <w:b w:val="false"/>
          <w:bCs w:val="false"/>
        </w:rPr>
        <w:t>Academic success;</w:t>
      </w:r>
    </w:p>
    <w:p>
      <w:pPr>
        <w:pStyle w:val="Normal"/>
        <w:numPr>
          <w:ilvl w:val="0"/>
          <w:numId w:val="2"/>
        </w:numPr>
        <w:bidi w:val="0"/>
        <w:spacing w:lineRule="auto" w:line="276"/>
        <w:jc w:val="both"/>
        <w:rPr/>
      </w:pPr>
      <w:r>
        <w:rPr>
          <w:b w:val="false"/>
          <w:bCs w:val="false"/>
        </w:rPr>
        <w:t>Knowledge of the language in which classes will be held;</w:t>
      </w:r>
    </w:p>
    <w:p>
      <w:pPr>
        <w:pStyle w:val="Normal"/>
        <w:numPr>
          <w:ilvl w:val="0"/>
          <w:numId w:val="2"/>
        </w:numPr>
        <w:bidi w:val="0"/>
        <w:spacing w:lineRule="auto" w:line="276"/>
        <w:jc w:val="both"/>
        <w:rPr/>
      </w:pPr>
      <w:r>
        <w:rPr>
          <w:b w:val="false"/>
          <w:bCs w:val="false"/>
        </w:rPr>
        <w:t>Students for whom this is the first mobility under the Erasmus + program have priority.</w:t>
      </w:r>
    </w:p>
    <w:p>
      <w:pPr>
        <w:pStyle w:val="Normal"/>
        <w:bidi w:val="0"/>
        <w:spacing w:lineRule="auto" w:line="276"/>
        <w:jc w:val="both"/>
        <w:rPr>
          <w:b w:val="false"/>
          <w:b w:val="false"/>
          <w:bCs w:val="false"/>
        </w:rPr>
      </w:pPr>
      <w:r>
        <w:rPr/>
      </w:r>
    </w:p>
    <w:p>
      <w:pPr>
        <w:pStyle w:val="Normal"/>
        <w:bidi w:val="0"/>
        <w:spacing w:lineRule="auto" w:line="276"/>
        <w:jc w:val="both"/>
        <w:rPr>
          <w:b w:val="false"/>
          <w:b w:val="false"/>
          <w:bCs w:val="false"/>
        </w:rPr>
      </w:pPr>
      <w:r>
        <w:rPr/>
      </w:r>
    </w:p>
    <w:p>
      <w:pPr>
        <w:pStyle w:val="Normal"/>
        <w:bidi w:val="0"/>
        <w:spacing w:lineRule="auto" w:line="276"/>
        <w:jc w:val="both"/>
        <w:rPr>
          <w:b w:val="false"/>
          <w:b w:val="false"/>
          <w:bCs w:val="false"/>
        </w:rPr>
      </w:pPr>
      <w:r>
        <w:rPr/>
      </w:r>
    </w:p>
    <w:p>
      <w:pPr>
        <w:pStyle w:val="Normal"/>
        <w:bidi w:val="0"/>
        <w:spacing w:lineRule="auto" w:line="276"/>
        <w:jc w:val="both"/>
        <w:rPr>
          <w:b/>
          <w:b/>
          <w:bCs/>
        </w:rPr>
      </w:pPr>
      <w:r>
        <w:rPr>
          <w:b/>
          <w:bCs/>
        </w:rPr>
        <w:t>Application procedure</w:t>
      </w:r>
    </w:p>
    <w:p>
      <w:pPr>
        <w:pStyle w:val="Normal"/>
        <w:bidi w:val="0"/>
        <w:spacing w:lineRule="auto" w:line="276"/>
        <w:jc w:val="both"/>
        <w:rPr>
          <w:b/>
          <w:b/>
          <w:bCs/>
        </w:rPr>
      </w:pPr>
      <w:r>
        <w:rPr>
          <w:b/>
          <w:bCs/>
        </w:rPr>
      </w:r>
    </w:p>
    <w:p>
      <w:pPr>
        <w:pStyle w:val="Normal"/>
        <w:bidi w:val="0"/>
        <w:spacing w:lineRule="auto" w:line="276"/>
        <w:jc w:val="both"/>
        <w:rPr/>
      </w:pPr>
      <w:r>
        <w:rPr>
          <w:b w:val="false"/>
          <w:bCs w:val="false"/>
        </w:rPr>
        <w:t xml:space="preserve">Completed and hand-signed application form with complete documentation should be submitted to the Erasmus + coordinator of the university in person in a sealed envelope with the name and surname of the student or by e-mail to: </w:t>
      </w:r>
      <w:hyperlink r:id="rId2">
        <w:r>
          <w:rPr>
            <w:rStyle w:val="InternetLink"/>
            <w:b w:val="false"/>
            <w:bCs w:val="false"/>
          </w:rPr>
          <w:t>erasmus@evtos.hr</w:t>
        </w:r>
      </w:hyperlink>
      <w:r>
        <w:rPr>
          <w:b w:val="false"/>
          <w:bCs w:val="false"/>
        </w:rPr>
        <w:t>.</w:t>
      </w:r>
    </w:p>
    <w:p>
      <w:pPr>
        <w:pStyle w:val="Normal"/>
        <w:bidi w:val="0"/>
        <w:spacing w:lineRule="auto" w:line="276"/>
        <w:jc w:val="both"/>
        <w:rPr>
          <w:b w:val="false"/>
          <w:b w:val="false"/>
          <w:bCs w:val="false"/>
        </w:rPr>
      </w:pPr>
      <w:r>
        <w:rPr/>
      </w:r>
    </w:p>
    <w:p>
      <w:pPr>
        <w:pStyle w:val="Normal"/>
        <w:bidi w:val="0"/>
        <w:spacing w:lineRule="auto" w:line="276"/>
        <w:jc w:val="both"/>
        <w:rPr>
          <w:b w:val="false"/>
          <w:b w:val="false"/>
          <w:bCs w:val="false"/>
        </w:rPr>
      </w:pPr>
      <w:r>
        <w:rPr/>
      </w:r>
    </w:p>
    <w:p>
      <w:pPr>
        <w:pStyle w:val="Normal"/>
        <w:bidi w:val="0"/>
        <w:spacing w:lineRule="auto" w:line="276"/>
        <w:jc w:val="both"/>
        <w:rPr/>
      </w:pPr>
      <w:r>
        <w:rPr>
          <w:b w:val="false"/>
          <w:bCs w:val="false"/>
          <w:u w:val="single"/>
        </w:rPr>
        <w:t>Note:</w:t>
      </w:r>
      <w:r>
        <w:rPr>
          <w:b w:val="false"/>
          <w:bCs w:val="false"/>
        </w:rPr>
        <w:t xml:space="preserve"> If the application is submitted via e-mail, you submit the above forms in </w:t>
      </w:r>
      <w:r>
        <w:rPr>
          <w:b/>
          <w:bCs/>
        </w:rPr>
        <w:t>.pdf</w:t>
      </w:r>
      <w:r>
        <w:rPr>
          <w:b w:val="false"/>
          <w:bCs w:val="false"/>
        </w:rPr>
        <w:t xml:space="preserve"> format. By applying via e-mail, you should receive a confirmation of receipt of the application for the c</w:t>
      </w:r>
      <w:r>
        <w:rPr>
          <w:b w:val="false"/>
          <w:bCs w:val="false"/>
        </w:rPr>
        <w:t>all</w:t>
      </w:r>
      <w:r>
        <w:rPr>
          <w:b w:val="false"/>
          <w:bCs w:val="false"/>
        </w:rPr>
        <w:t xml:space="preserve"> to your e-mail address within 24 hours from the moment of sending. If you do not receive the acknowledgment of receipt, please contact the Erasmus + coordinator in person or by phone at 031/494-209. Office hours are from 08:00 to 12:00 every working day of the </w:t>
      </w:r>
      <w:r>
        <w:rPr>
          <w:b w:val="false"/>
          <w:bCs w:val="false"/>
        </w:rPr>
        <w:t>seminary</w:t>
      </w:r>
      <w:r>
        <w:rPr>
          <w:b w:val="false"/>
          <w:bCs w:val="false"/>
        </w:rPr>
        <w:t>.</w:t>
      </w:r>
    </w:p>
    <w:p>
      <w:pPr>
        <w:pStyle w:val="Normal"/>
        <w:bidi w:val="0"/>
        <w:spacing w:lineRule="auto" w:line="276"/>
        <w:jc w:val="both"/>
        <w:rPr>
          <w:b w:val="false"/>
          <w:b w:val="false"/>
          <w:bCs w:val="false"/>
        </w:rPr>
      </w:pPr>
      <w:r>
        <w:rPr/>
      </w:r>
    </w:p>
    <w:p>
      <w:pPr>
        <w:pStyle w:val="Normal"/>
        <w:bidi w:val="0"/>
        <w:spacing w:lineRule="auto" w:line="276"/>
        <w:jc w:val="both"/>
        <w:rPr>
          <w:b w:val="false"/>
          <w:b w:val="false"/>
          <w:bCs w:val="false"/>
        </w:rPr>
      </w:pPr>
      <w:r>
        <w:rPr/>
      </w:r>
    </w:p>
    <w:p>
      <w:pPr>
        <w:pStyle w:val="Normal"/>
        <w:bidi w:val="0"/>
        <w:spacing w:lineRule="auto" w:line="276"/>
        <w:jc w:val="both"/>
        <w:rPr>
          <w:b/>
          <w:b/>
          <w:bCs/>
        </w:rPr>
      </w:pPr>
      <w:r>
        <w:rPr>
          <w:b/>
          <w:bCs/>
        </w:rPr>
        <w:t>The deadline for applications is May 25, 2022, by 4:00 pm if submitted in person, and if submitted by e-mail, the deadline is the end of the day (11:59 pm).</w:t>
      </w:r>
    </w:p>
    <w:p>
      <w:pPr>
        <w:pStyle w:val="Normal"/>
        <w:bidi w:val="0"/>
        <w:spacing w:lineRule="auto" w:line="276"/>
        <w:jc w:val="both"/>
        <w:rPr>
          <w:b/>
          <w:b/>
          <w:bCs/>
        </w:rPr>
      </w:pPr>
      <w:r>
        <w:rPr>
          <w:b/>
          <w:bCs/>
        </w:rPr>
      </w:r>
    </w:p>
    <w:p>
      <w:pPr>
        <w:pStyle w:val="Normal"/>
        <w:bidi w:val="0"/>
        <w:spacing w:lineRule="auto" w:line="276"/>
        <w:jc w:val="both"/>
        <w:rPr>
          <w:b/>
          <w:b/>
          <w:bCs/>
        </w:rPr>
      </w:pPr>
      <w:r>
        <w:rPr>
          <w:b/>
          <w:bCs/>
        </w:rPr>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b/>
          <w:bCs/>
        </w:rPr>
      </w:pPr>
      <w:r>
        <w:rPr>
          <w:b/>
          <w:bCs/>
        </w:rPr>
        <w:t>Publication</w:t>
      </w:r>
      <w:r>
        <w:rPr>
          <w:b/>
          <w:bCs/>
        </w:rPr>
        <w:t xml:space="preserve"> of results</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t>By applying to the c</w:t>
      </w:r>
      <w:r>
        <w:rPr>
          <w:b w:val="false"/>
          <w:bCs w:val="false"/>
        </w:rPr>
        <w:t>all</w:t>
      </w:r>
      <w:r>
        <w:rPr>
          <w:b w:val="false"/>
          <w:bCs w:val="false"/>
        </w:rPr>
        <w:t>, students agree to have their data published on the ranking list.</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t xml:space="preserve">All applicants will be informed by e-mail about the results of the evaluation process. They will be published on the </w:t>
      </w:r>
      <w:r>
        <w:rPr>
          <w:b w:val="false"/>
          <w:bCs w:val="false"/>
        </w:rPr>
        <w:t>ETS</w:t>
      </w:r>
      <w:r>
        <w:rPr>
          <w:b w:val="false"/>
          <w:bCs w:val="false"/>
        </w:rPr>
        <w:t xml:space="preserve"> website by 6 June 2022 at the latest.</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t>If necessary, other results of the c</w:t>
      </w:r>
      <w:r>
        <w:rPr>
          <w:b w:val="false"/>
          <w:bCs w:val="false"/>
        </w:rPr>
        <w:t>all</w:t>
      </w:r>
      <w:r>
        <w:rPr>
          <w:b w:val="false"/>
          <w:bCs w:val="false"/>
        </w:rPr>
        <w:t xml:space="preserve"> will be published after ET</w:t>
      </w:r>
      <w:r>
        <w:rPr>
          <w:b w:val="false"/>
          <w:bCs w:val="false"/>
        </w:rPr>
        <w:t>S</w:t>
      </w:r>
      <w:r>
        <w:rPr>
          <w:b w:val="false"/>
          <w:bCs w:val="false"/>
        </w:rPr>
        <w:t xml:space="preserve"> receives a notification from the Agency for Mobility and EU Programs on the number of approved places, ie months for study stays.</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b/>
          <w:bCs/>
        </w:rPr>
      </w:pPr>
      <w:r>
        <w:rPr>
          <w:b/>
          <w:bCs/>
        </w:rPr>
        <w:t>List of attachments</w:t>
      </w:r>
    </w:p>
    <w:p>
      <w:pPr>
        <w:pStyle w:val="Normal"/>
        <w:bidi w:val="0"/>
        <w:spacing w:lineRule="auto" w:line="276"/>
        <w:jc w:val="both"/>
        <w:rPr>
          <w:b/>
          <w:b/>
          <w:bCs/>
        </w:rPr>
      </w:pPr>
      <w:r>
        <w:rPr>
          <w:b/>
          <w:bCs/>
        </w:rPr>
      </w:r>
    </w:p>
    <w:p>
      <w:pPr>
        <w:pStyle w:val="Normal"/>
        <w:numPr>
          <w:ilvl w:val="0"/>
          <w:numId w:val="3"/>
        </w:numPr>
        <w:bidi w:val="0"/>
        <w:spacing w:lineRule="auto" w:line="276"/>
        <w:jc w:val="both"/>
        <w:rPr>
          <w:b w:val="false"/>
          <w:b w:val="false"/>
          <w:bCs w:val="false"/>
        </w:rPr>
      </w:pPr>
      <w:r>
        <w:rPr>
          <w:b w:val="false"/>
          <w:bCs w:val="false"/>
        </w:rPr>
        <w:t>Application form</w:t>
      </w:r>
    </w:p>
    <w:p>
      <w:pPr>
        <w:pStyle w:val="Normal"/>
        <w:numPr>
          <w:ilvl w:val="0"/>
          <w:numId w:val="3"/>
        </w:numPr>
        <w:bidi w:val="0"/>
        <w:spacing w:lineRule="auto" w:line="276"/>
        <w:jc w:val="both"/>
        <w:rPr>
          <w:b w:val="false"/>
          <w:b w:val="false"/>
          <w:bCs w:val="false"/>
        </w:rPr>
      </w:pPr>
      <w:r>
        <w:rPr>
          <w:b w:val="false"/>
          <w:bCs w:val="false"/>
        </w:rPr>
        <w:t>Application form for persons with disabilities (APPENDIX 1)</w:t>
      </w:r>
    </w:p>
    <w:p>
      <w:pPr>
        <w:pStyle w:val="Normal"/>
        <w:numPr>
          <w:ilvl w:val="0"/>
          <w:numId w:val="3"/>
        </w:numPr>
        <w:bidi w:val="0"/>
        <w:spacing w:lineRule="auto" w:line="276"/>
        <w:jc w:val="both"/>
        <w:rPr>
          <w:b w:val="false"/>
          <w:b w:val="false"/>
          <w:bCs w:val="false"/>
        </w:rPr>
      </w:pPr>
      <w:r>
        <w:rPr>
          <w:b w:val="false"/>
          <w:bCs w:val="false"/>
        </w:rPr>
        <w:t>Declaration on members of the joint household (A</w:t>
      </w:r>
      <w:r>
        <w:rPr>
          <w:b w:val="false"/>
          <w:bCs w:val="false"/>
        </w:rPr>
        <w:t>NNE</w:t>
      </w:r>
      <w:r>
        <w:rPr>
          <w:b w:val="false"/>
          <w:bCs w:val="false"/>
        </w:rPr>
        <w:t>X 1.1 - Appendix to A</w:t>
      </w:r>
      <w:r>
        <w:rPr>
          <w:b w:val="false"/>
          <w:bCs w:val="false"/>
        </w:rPr>
        <w:t>ppendix</w:t>
      </w:r>
      <w:r>
        <w:rPr>
          <w:b w:val="false"/>
          <w:bCs w:val="false"/>
        </w:rPr>
        <w:t xml:space="preserve"> 1)</w:t>
      </w:r>
    </w:p>
    <w:p>
      <w:pPr>
        <w:pStyle w:val="Normal"/>
        <w:numPr>
          <w:ilvl w:val="0"/>
          <w:numId w:val="3"/>
        </w:numPr>
        <w:bidi w:val="0"/>
        <w:spacing w:lineRule="auto" w:line="276"/>
        <w:jc w:val="both"/>
        <w:rPr>
          <w:b w:val="false"/>
          <w:b w:val="false"/>
          <w:bCs w:val="false"/>
        </w:rPr>
      </w:pPr>
      <w:r>
        <w:rPr>
          <w:b w:val="false"/>
          <w:bCs w:val="false"/>
        </w:rPr>
        <w:t>Application form for persons with special needs (APPENDIX 2)</w:t>
      </w:r>
    </w:p>
    <w:p>
      <w:pPr>
        <w:pStyle w:val="Normal"/>
        <w:numPr>
          <w:ilvl w:val="0"/>
          <w:numId w:val="3"/>
        </w:numPr>
        <w:bidi w:val="0"/>
        <w:spacing w:lineRule="auto" w:line="276"/>
        <w:jc w:val="both"/>
        <w:rPr>
          <w:b w:val="false"/>
          <w:b w:val="false"/>
          <w:bCs w:val="false"/>
        </w:rPr>
      </w:pPr>
      <w:r>
        <w:rPr>
          <w:b w:val="false"/>
          <w:bCs w:val="false"/>
        </w:rPr>
        <w:t>Application guide (with conditions and list of additional documentation for claiming additional financial support for underrepresented or vulnerable groups of students)</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b/>
          <w:bCs/>
        </w:rPr>
      </w:pPr>
      <w:r>
        <w:rPr>
          <w:b/>
          <w:bCs/>
        </w:rPr>
        <w:t>Concluding remarks</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pPr>
      <w:r>
        <w:rPr>
          <w:b w:val="false"/>
          <w:bCs w:val="false"/>
        </w:rPr>
        <w:t xml:space="preserve">Any amendments to the </w:t>
      </w:r>
      <w:r>
        <w:rPr>
          <w:b w:val="false"/>
          <w:bCs w:val="false"/>
        </w:rPr>
        <w:t xml:space="preserve">Call </w:t>
      </w:r>
      <w:r>
        <w:rPr>
          <w:b w:val="false"/>
          <w:bCs w:val="false"/>
        </w:rPr>
        <w:t xml:space="preserve">will be published on the </w:t>
      </w:r>
      <w:r>
        <w:rPr>
          <w:b w:val="false"/>
          <w:bCs w:val="false"/>
        </w:rPr>
        <w:t>ETS</w:t>
      </w:r>
      <w:r>
        <w:rPr>
          <w:b w:val="false"/>
          <w:bCs w:val="false"/>
        </w:rPr>
        <w:t xml:space="preserve"> website.</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t xml:space="preserve">The selected candidates are obliged to follow the prescribed procedure before leaving for and after returning from a foreign higher education institution (of which they will be informed) and to submit the necessary documentation to </w:t>
      </w:r>
      <w:r>
        <w:rPr>
          <w:b w:val="false"/>
          <w:bCs w:val="false"/>
        </w:rPr>
        <w:t>ETS.</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pPr>
      <w:r>
        <w:rPr>
          <w:b w:val="false"/>
          <w:bCs w:val="false"/>
        </w:rPr>
        <w:t>By applying to the C</w:t>
      </w:r>
      <w:r>
        <w:rPr>
          <w:b w:val="false"/>
          <w:bCs w:val="false"/>
        </w:rPr>
        <w:t>all</w:t>
      </w:r>
      <w:r>
        <w:rPr>
          <w:b w:val="false"/>
          <w:bCs w:val="false"/>
        </w:rPr>
        <w:t xml:space="preserve">, candidates confirm that they are aware that </w:t>
      </w:r>
      <w:r>
        <w:rPr>
          <w:b w:val="false"/>
          <w:bCs w:val="false"/>
        </w:rPr>
        <w:t>ETS</w:t>
      </w:r>
      <w:r>
        <w:rPr>
          <w:b w:val="false"/>
          <w:bCs w:val="false"/>
        </w:rPr>
        <w:t>, as the head of personal data processing, processes their personal data from the Application explicitly for the purpose of implementing the C</w:t>
      </w:r>
      <w:r>
        <w:rPr>
          <w:b w:val="false"/>
          <w:bCs w:val="false"/>
        </w:rPr>
        <w:t>all</w:t>
      </w:r>
      <w:r>
        <w:rPr>
          <w:b w:val="false"/>
          <w:bCs w:val="false"/>
        </w:rPr>
        <w:t xml:space="preserve">, ie for Erasmus+ mobility, including publishing names and surnames on the list of selected/rejected candidates or on the waiting </w:t>
      </w:r>
      <w:r>
        <w:rPr>
          <w:b w:val="false"/>
          <w:bCs w:val="false"/>
        </w:rPr>
        <w:t>list</w:t>
      </w:r>
      <w:r>
        <w:rPr>
          <w:b w:val="false"/>
          <w:bCs w:val="false"/>
        </w:rPr>
        <w:t>, ie on all subsequent lists if there is a need for the same, as well as the drafting and implementation of the contract on the award of financial support and for the purpose of payment of financial support.</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pPr>
      <w:r>
        <w:rPr>
          <w:b w:val="false"/>
          <w:bCs w:val="false"/>
        </w:rPr>
        <w:t>By applying to the C</w:t>
      </w:r>
      <w:r>
        <w:rPr>
          <w:b w:val="false"/>
          <w:bCs w:val="false"/>
        </w:rPr>
        <w:t>all</w:t>
      </w:r>
      <w:r>
        <w:rPr>
          <w:b w:val="false"/>
          <w:bCs w:val="false"/>
        </w:rPr>
        <w:t xml:space="preserve">, candidates confirm that they are aware that the implementation of the Erasmus + mobility procedure involves entering their personal data in </w:t>
      </w:r>
      <w:r>
        <w:rPr>
          <w:b w:val="false"/>
          <w:bCs w:val="false"/>
        </w:rPr>
        <w:t>ETS</w:t>
      </w:r>
      <w:r>
        <w:rPr>
          <w:b w:val="false"/>
          <w:bCs w:val="false"/>
        </w:rPr>
        <w:t xml:space="preserve"> databases, foreign partner institutions, the European Commission, the Agency for Mobility and EU Programs, the Ministry's </w:t>
      </w:r>
      <w:r>
        <w:rPr>
          <w:b w:val="false"/>
          <w:bCs w:val="false"/>
        </w:rPr>
        <w:t xml:space="preserve">of the Interior </w:t>
      </w:r>
      <w:r>
        <w:rPr>
          <w:b w:val="false"/>
          <w:bCs w:val="false"/>
        </w:rPr>
        <w:t>database and other institutions/public bodies authorized to request and obtain information on Erasmus+ scholarship holders for the purpose of implementing mobility.</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t>Furthermore, candidates are informed that their personal data will not be processed in a way that is not in accordance with the stated purpose and the positive regulations of European and national law.</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b/>
          <w:bCs/>
        </w:rPr>
      </w:pPr>
      <w:r>
        <w:rPr>
          <w:b/>
          <w:bCs/>
        </w:rPr>
        <w:t>Contact for additional inquiries</w:t>
      </w:r>
    </w:p>
    <w:p>
      <w:pPr>
        <w:pStyle w:val="Normal"/>
        <w:bidi w:val="0"/>
        <w:spacing w:lineRule="auto" w:line="276"/>
        <w:jc w:val="both"/>
        <w:rPr>
          <w:b w:val="false"/>
          <w:b w:val="false"/>
          <w:bCs w:val="false"/>
        </w:rPr>
      </w:pPr>
      <w:r>
        <w:rPr>
          <w:b w:val="false"/>
          <w:bCs w:val="false"/>
        </w:rPr>
      </w:r>
    </w:p>
    <w:p>
      <w:pPr>
        <w:pStyle w:val="Normal"/>
        <w:bidi w:val="0"/>
        <w:spacing w:lineRule="auto" w:line="276"/>
        <w:jc w:val="both"/>
        <w:rPr>
          <w:b w:val="false"/>
          <w:b w:val="false"/>
          <w:bCs w:val="false"/>
        </w:rPr>
      </w:pPr>
      <w:r>
        <w:rPr>
          <w:b w:val="false"/>
          <w:bCs w:val="false"/>
        </w:rPr>
        <w:t>Erasmus+ coordinator: Edita Plaščak</w:t>
      </w:r>
    </w:p>
    <w:p>
      <w:pPr>
        <w:pStyle w:val="Normal"/>
        <w:bidi w:val="0"/>
        <w:spacing w:lineRule="auto" w:line="276"/>
        <w:jc w:val="both"/>
        <w:rPr>
          <w:b w:val="false"/>
          <w:b w:val="false"/>
          <w:bCs w:val="false"/>
        </w:rPr>
      </w:pPr>
      <w:r>
        <w:rPr>
          <w:b w:val="false"/>
          <w:bCs w:val="false"/>
        </w:rPr>
        <w:t xml:space="preserve">email: </w:t>
      </w:r>
      <w:hyperlink r:id="rId3">
        <w:r>
          <w:rPr>
            <w:rStyle w:val="InternetLink"/>
            <w:b w:val="false"/>
            <w:bCs w:val="false"/>
          </w:rPr>
          <w:t>erasmus@evtos.hr</w:t>
        </w:r>
      </w:hyperlink>
    </w:p>
    <w:p>
      <w:pPr>
        <w:pStyle w:val="Normal"/>
        <w:bidi w:val="0"/>
        <w:spacing w:lineRule="auto" w:line="276"/>
        <w:jc w:val="both"/>
        <w:rPr>
          <w:b w:val="false"/>
          <w:b w:val="false"/>
          <w:bCs w:val="false"/>
        </w:rPr>
      </w:pPr>
      <w:r>
        <w:rPr>
          <w:b w:val="false"/>
          <w:bCs w:val="false"/>
        </w:rPr>
        <w:t>tel: 031/494-209</w:t>
      </w:r>
    </w:p>
    <w:p>
      <w:pPr>
        <w:pStyle w:val="Normal"/>
        <w:bidi w:val="0"/>
        <w:spacing w:lineRule="auto" w:line="276"/>
        <w:jc w:val="both"/>
        <w:rPr>
          <w:b w:val="false"/>
          <w:b w:val="false"/>
          <w:bCs w:val="false"/>
        </w:rPr>
      </w:pPr>
      <w:r>
        <w:rPr>
          <w:b w:val="false"/>
          <w:bCs w:val="false"/>
        </w:rPr>
        <w:t>office hours: Mon - Fri, 08 - 12h</w:t>
      </w:r>
    </w:p>
    <w:sectPr>
      <w:footerReference w:type="default" r:id="rId4"/>
      <w:type w:val="nextPage"/>
      <w:pgSz w:w="11906" w:h="16838"/>
      <w:pgMar w:left="1134" w:right="1134"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right"/>
      <w:rPr/>
    </w:pPr>
    <w:r>
      <w:rPr/>
      <w:fldChar w:fldCharType="begin"/>
    </w:r>
    <w:r>
      <w:rPr/>
      <w:instrText> PAGE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1020"/>
        </w:tabs>
        <w:ind w:left="1020" w:hanging="360"/>
      </w:pPr>
      <w:rPr>
        <w:rFonts w:ascii="Symbol" w:hAnsi="Symbol" w:cs="Symbol" w:hint="default"/>
      </w:rPr>
    </w:lvl>
    <w:lvl w:ilvl="1">
      <w:start w:val="1"/>
      <w:numFmt w:val="bullet"/>
      <w:lvlText w:val="◦"/>
      <w:lvlJc w:val="left"/>
      <w:pPr>
        <w:tabs>
          <w:tab w:val="num" w:pos="1380"/>
        </w:tabs>
        <w:ind w:left="1380" w:hanging="360"/>
      </w:pPr>
      <w:rPr>
        <w:rFonts w:ascii="OpenSymbol" w:hAnsi="OpenSymbol" w:cs="OpenSymbol" w:hint="default"/>
      </w:rPr>
    </w:lvl>
    <w:lvl w:ilvl="2">
      <w:start w:val="1"/>
      <w:numFmt w:val="bullet"/>
      <w:lvlText w:val="▪"/>
      <w:lvlJc w:val="left"/>
      <w:pPr>
        <w:tabs>
          <w:tab w:val="num" w:pos="1740"/>
        </w:tabs>
        <w:ind w:left="1740" w:hanging="360"/>
      </w:pPr>
      <w:rPr>
        <w:rFonts w:ascii="OpenSymbol" w:hAnsi="OpenSymbol" w:cs="OpenSymbol" w:hint="default"/>
      </w:rPr>
    </w:lvl>
    <w:lvl w:ilvl="3">
      <w:start w:val="1"/>
      <w:numFmt w:val="bullet"/>
      <w:lvlText w:val=""/>
      <w:lvlJc w:val="left"/>
      <w:pPr>
        <w:tabs>
          <w:tab w:val="num" w:pos="2100"/>
        </w:tabs>
        <w:ind w:left="2100" w:hanging="360"/>
      </w:pPr>
      <w:rPr>
        <w:rFonts w:ascii="Symbol" w:hAnsi="Symbol" w:cs="Symbol" w:hint="default"/>
      </w:rPr>
    </w:lvl>
    <w:lvl w:ilvl="4">
      <w:start w:val="1"/>
      <w:numFmt w:val="bullet"/>
      <w:lvlText w:val="◦"/>
      <w:lvlJc w:val="left"/>
      <w:pPr>
        <w:tabs>
          <w:tab w:val="num" w:pos="2460"/>
        </w:tabs>
        <w:ind w:left="2460" w:hanging="360"/>
      </w:pPr>
      <w:rPr>
        <w:rFonts w:ascii="OpenSymbol" w:hAnsi="OpenSymbol" w:cs="OpenSymbol" w:hint="default"/>
      </w:rPr>
    </w:lvl>
    <w:lvl w:ilvl="5">
      <w:start w:val="1"/>
      <w:numFmt w:val="bullet"/>
      <w:lvlText w:val="▪"/>
      <w:lvlJc w:val="left"/>
      <w:pPr>
        <w:tabs>
          <w:tab w:val="num" w:pos="2820"/>
        </w:tabs>
        <w:ind w:left="2820" w:hanging="360"/>
      </w:pPr>
      <w:rPr>
        <w:rFonts w:ascii="OpenSymbol" w:hAnsi="OpenSymbol" w:cs="OpenSymbol" w:hint="default"/>
      </w:rPr>
    </w:lvl>
    <w:lvl w:ilvl="6">
      <w:start w:val="1"/>
      <w:numFmt w:val="bullet"/>
      <w:lvlText w:val=""/>
      <w:lvlJc w:val="left"/>
      <w:pPr>
        <w:tabs>
          <w:tab w:val="num" w:pos="3180"/>
        </w:tabs>
        <w:ind w:left="3180" w:hanging="360"/>
      </w:pPr>
      <w:rPr>
        <w:rFonts w:ascii="Symbol" w:hAnsi="Symbol" w:cs="Symbol" w:hint="default"/>
      </w:rPr>
    </w:lvl>
    <w:lvl w:ilvl="7">
      <w:start w:val="1"/>
      <w:numFmt w:val="bullet"/>
      <w:lvlText w:val="◦"/>
      <w:lvlJc w:val="left"/>
      <w:pPr>
        <w:tabs>
          <w:tab w:val="num" w:pos="3540"/>
        </w:tabs>
        <w:ind w:left="3540" w:hanging="360"/>
      </w:pPr>
      <w:rPr>
        <w:rFonts w:ascii="OpenSymbol" w:hAnsi="OpenSymbol" w:cs="OpenSymbol" w:hint="default"/>
      </w:rPr>
    </w:lvl>
    <w:lvl w:ilvl="8">
      <w:start w:val="1"/>
      <w:numFmt w:val="bullet"/>
      <w:lvlText w:val="▪"/>
      <w:lvlJc w:val="left"/>
      <w:pPr>
        <w:tabs>
          <w:tab w:val="num" w:pos="3900"/>
        </w:tabs>
        <w:ind w:left="3900" w:hanging="360"/>
      </w:pPr>
      <w:rPr>
        <w:rFonts w:ascii="OpenSymbol" w:hAnsi="OpenSymbol" w:cs="OpenSymbol" w:hint="default"/>
      </w:rPr>
    </w:lvl>
  </w:abstractNum>
  <w:abstractNum w:abstractNumId="3">
    <w:lvl w:ilvl="0">
      <w:start w:val="1"/>
      <w:numFmt w:val="decimal"/>
      <w:lvlText w:val="%1."/>
      <w:lvlJc w:val="left"/>
      <w:pPr>
        <w:tabs>
          <w:tab w:val="num" w:pos="1330"/>
        </w:tabs>
        <w:ind w:left="1330" w:hanging="360"/>
      </w:pPr>
      <w:rPr/>
    </w:lvl>
    <w:lvl w:ilvl="1">
      <w:start w:val="1"/>
      <w:numFmt w:val="decimal"/>
      <w:lvlText w:val="%2."/>
      <w:lvlJc w:val="left"/>
      <w:pPr>
        <w:tabs>
          <w:tab w:val="num" w:pos="1690"/>
        </w:tabs>
        <w:ind w:left="1690" w:hanging="360"/>
      </w:pPr>
      <w:rPr/>
    </w:lvl>
    <w:lvl w:ilvl="2">
      <w:start w:val="1"/>
      <w:numFmt w:val="decimal"/>
      <w:lvlText w:val="%3."/>
      <w:lvlJc w:val="left"/>
      <w:pPr>
        <w:tabs>
          <w:tab w:val="num" w:pos="2050"/>
        </w:tabs>
        <w:ind w:left="2050" w:hanging="360"/>
      </w:pPr>
      <w:rPr/>
    </w:lvl>
    <w:lvl w:ilvl="3">
      <w:start w:val="1"/>
      <w:numFmt w:val="decimal"/>
      <w:lvlText w:val="%4."/>
      <w:lvlJc w:val="left"/>
      <w:pPr>
        <w:tabs>
          <w:tab w:val="num" w:pos="2410"/>
        </w:tabs>
        <w:ind w:left="2410" w:hanging="360"/>
      </w:pPr>
      <w:rPr/>
    </w:lvl>
    <w:lvl w:ilvl="4">
      <w:start w:val="1"/>
      <w:numFmt w:val="decimal"/>
      <w:lvlText w:val="%5."/>
      <w:lvlJc w:val="left"/>
      <w:pPr>
        <w:tabs>
          <w:tab w:val="num" w:pos="2770"/>
        </w:tabs>
        <w:ind w:left="2770" w:hanging="360"/>
      </w:pPr>
      <w:rPr/>
    </w:lvl>
    <w:lvl w:ilvl="5">
      <w:start w:val="1"/>
      <w:numFmt w:val="decimal"/>
      <w:lvlText w:val="%6."/>
      <w:lvlJc w:val="left"/>
      <w:pPr>
        <w:tabs>
          <w:tab w:val="num" w:pos="3130"/>
        </w:tabs>
        <w:ind w:left="3130" w:hanging="360"/>
      </w:pPr>
      <w:rPr/>
    </w:lvl>
    <w:lvl w:ilvl="6">
      <w:start w:val="1"/>
      <w:numFmt w:val="decimal"/>
      <w:lvlText w:val="%7."/>
      <w:lvlJc w:val="left"/>
      <w:pPr>
        <w:tabs>
          <w:tab w:val="num" w:pos="3490"/>
        </w:tabs>
        <w:ind w:left="3490" w:hanging="360"/>
      </w:pPr>
      <w:rPr/>
    </w:lvl>
    <w:lvl w:ilvl="7">
      <w:start w:val="1"/>
      <w:numFmt w:val="decimal"/>
      <w:lvlText w:val="%8."/>
      <w:lvlJc w:val="left"/>
      <w:pPr>
        <w:tabs>
          <w:tab w:val="num" w:pos="3850"/>
        </w:tabs>
        <w:ind w:left="3850" w:hanging="360"/>
      </w:pPr>
      <w:rPr/>
    </w:lvl>
    <w:lvl w:ilvl="8">
      <w:start w:val="1"/>
      <w:numFmt w:val="decimal"/>
      <w:lvlText w:val="%9."/>
      <w:lvlJc w:val="left"/>
      <w:pPr>
        <w:tabs>
          <w:tab w:val="num" w:pos="4210"/>
        </w:tabs>
        <w:ind w:left="421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asmus@evtos.hr" TargetMode="External"/><Relationship Id="rId3" Type="http://schemas.openxmlformats.org/officeDocument/2006/relationships/hyperlink" Target="mailto:erasmus@evtos.h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LibreOffice/6.4.7.2$Linux_X86_64 LibreOffice_project/40$Build-2</Application>
  <Pages>4</Pages>
  <Words>1361</Words>
  <Characters>7093</Characters>
  <CharactersWithSpaces>8385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2022-05-02T09:43:46Z</dcterms:created>
  <dc:creator/>
  <dc:description/>
  <dc:language>en-US</dc:language>
  <cp:lastModifiedBy/>
  <dcterms:modified xsi:type="dcterms:W3CDTF">2022-05-02T10:46:03Z</dcterms:modified>
  <cp:revision>20</cp:revision>
  <dc:subject/>
  <dc:title/>
</cp:coreProperties>
</file>